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DE7" w:rsidRDefault="00C33DE7" w:rsidP="00C33DE7">
      <w:pPr>
        <w:spacing w:line="360" w:lineRule="auto"/>
        <w:rPr>
          <w:b/>
          <w:sz w:val="28"/>
          <w:szCs w:val="28"/>
        </w:rPr>
      </w:pPr>
      <w:r>
        <w:rPr>
          <w:b/>
          <w:sz w:val="28"/>
          <w:szCs w:val="28"/>
        </w:rPr>
        <w:t>UBND QUẬN LONG BIÊN</w:t>
      </w:r>
    </w:p>
    <w:p w:rsidR="00C33DE7" w:rsidRDefault="00C33DE7" w:rsidP="00C33DE7">
      <w:pPr>
        <w:spacing w:line="360" w:lineRule="auto"/>
        <w:rPr>
          <w:b/>
          <w:sz w:val="28"/>
          <w:szCs w:val="28"/>
        </w:rPr>
      </w:pPr>
      <w:r>
        <w:rPr>
          <w:b/>
          <w:sz w:val="28"/>
          <w:szCs w:val="28"/>
        </w:rPr>
        <w:t>TRƯỜNG THCS SÀI ĐỒNG</w:t>
      </w:r>
    </w:p>
    <w:p w:rsidR="00C33DE7" w:rsidRDefault="00C33DE7" w:rsidP="00C33DE7">
      <w:pPr>
        <w:spacing w:line="360" w:lineRule="auto"/>
        <w:rPr>
          <w:b/>
          <w:i/>
          <w:sz w:val="28"/>
          <w:szCs w:val="28"/>
        </w:rPr>
      </w:pPr>
      <w:r>
        <w:rPr>
          <w:b/>
          <w:i/>
          <w:sz w:val="28"/>
          <w:szCs w:val="28"/>
        </w:rPr>
        <w:t>Năm học 2018 – 2019</w:t>
      </w:r>
    </w:p>
    <w:p w:rsidR="00477B46" w:rsidRDefault="00477B46" w:rsidP="00477B46">
      <w:pPr>
        <w:jc w:val="center"/>
        <w:rPr>
          <w:b/>
          <w:sz w:val="40"/>
          <w:szCs w:val="40"/>
        </w:rPr>
      </w:pPr>
      <w:r>
        <w:rPr>
          <w:b/>
          <w:sz w:val="40"/>
          <w:szCs w:val="40"/>
        </w:rPr>
        <w:t>Nội dung ôn tập học kì II</w:t>
      </w:r>
    </w:p>
    <w:p w:rsidR="00477B46" w:rsidRDefault="00477B46" w:rsidP="00477B46">
      <w:pPr>
        <w:jc w:val="center"/>
        <w:rPr>
          <w:sz w:val="28"/>
          <w:szCs w:val="28"/>
        </w:rPr>
      </w:pPr>
      <w:r>
        <w:rPr>
          <w:sz w:val="28"/>
          <w:szCs w:val="28"/>
        </w:rPr>
        <w:t>Môn: GDCD 9</w:t>
      </w:r>
    </w:p>
    <w:p w:rsidR="00477B46" w:rsidRDefault="00477B46" w:rsidP="00477B46">
      <w:pPr>
        <w:rPr>
          <w:b/>
          <w:sz w:val="28"/>
          <w:szCs w:val="28"/>
        </w:rPr>
      </w:pPr>
      <w:r>
        <w:rPr>
          <w:b/>
          <w:sz w:val="28"/>
          <w:szCs w:val="28"/>
        </w:rPr>
        <w:t>I/ Nội dung: Bài 14, 15, 16, 17, 18</w:t>
      </w:r>
    </w:p>
    <w:p w:rsidR="00477B46" w:rsidRDefault="00477B46" w:rsidP="00477B46">
      <w:pPr>
        <w:rPr>
          <w:b/>
          <w:sz w:val="28"/>
          <w:szCs w:val="28"/>
        </w:rPr>
      </w:pPr>
      <w:r>
        <w:rPr>
          <w:b/>
          <w:sz w:val="28"/>
          <w:szCs w:val="28"/>
        </w:rPr>
        <w:t>II/ Câu hỏi ôn tập</w:t>
      </w:r>
    </w:p>
    <w:p w:rsidR="00477B46" w:rsidRDefault="00477B46" w:rsidP="00477B46">
      <w:pPr>
        <w:spacing w:line="360" w:lineRule="auto"/>
        <w:rPr>
          <w:sz w:val="28"/>
          <w:szCs w:val="28"/>
        </w:rPr>
      </w:pPr>
      <w:r>
        <w:rPr>
          <w:sz w:val="28"/>
          <w:szCs w:val="28"/>
        </w:rPr>
        <w:t>1/ Thế nào là vi phạm pháp luật và trách nhiệm pháp lí? Trình bày các loại vi phạm pháp luật và trách nhiệm pháp lí?</w:t>
      </w:r>
    </w:p>
    <w:p w:rsidR="00477B46" w:rsidRDefault="00477B46" w:rsidP="00477B46">
      <w:pPr>
        <w:spacing w:line="360" w:lineRule="auto"/>
        <w:rPr>
          <w:sz w:val="28"/>
          <w:szCs w:val="28"/>
        </w:rPr>
      </w:pPr>
      <w:r>
        <w:rPr>
          <w:sz w:val="28"/>
          <w:szCs w:val="28"/>
        </w:rPr>
        <w:t>2/ Thế nào là quyền tham gia quản lí nhà nước, quản lí xã hội  của công dân? Cơ sở của quyền tham gia quản lí nhà nước, quản lí xã hội của công dân? Các hình thức tham gia quản lí nhà nước, quản lí xã hội của công dân?</w:t>
      </w:r>
    </w:p>
    <w:p w:rsidR="00477B46" w:rsidRDefault="00477B46" w:rsidP="00477B46">
      <w:pPr>
        <w:spacing w:line="360" w:lineRule="auto"/>
        <w:rPr>
          <w:sz w:val="28"/>
          <w:szCs w:val="28"/>
        </w:rPr>
      </w:pPr>
      <w:r>
        <w:rPr>
          <w:sz w:val="28"/>
          <w:szCs w:val="28"/>
        </w:rPr>
        <w:t>3/ Ý nghĩa của quyền tham gia quản lí nhà nước, quản lí xã hội  của công dân? Trách nhiệm của nhà nước và công dân trong việc thực hiện quyền tham gia quản lí nhà nước, quản lí xã hội  của công dân?</w:t>
      </w:r>
    </w:p>
    <w:p w:rsidR="00477B46" w:rsidRDefault="00477B46" w:rsidP="00477B46">
      <w:pPr>
        <w:spacing w:line="360" w:lineRule="auto"/>
        <w:rPr>
          <w:sz w:val="28"/>
          <w:szCs w:val="28"/>
        </w:rPr>
      </w:pPr>
      <w:r>
        <w:rPr>
          <w:sz w:val="28"/>
          <w:szCs w:val="28"/>
        </w:rPr>
        <w:t>4/ Thế nào là bảo vệ Tổ quốc và nghĩa vụ bảo vệ Tổ quốc? Nội dung nghĩa vụ bảo vệ Tổ quốc?</w:t>
      </w:r>
    </w:p>
    <w:p w:rsidR="00477B46" w:rsidRDefault="00477B46" w:rsidP="00477B46">
      <w:pPr>
        <w:spacing w:line="360" w:lineRule="auto"/>
        <w:rPr>
          <w:sz w:val="28"/>
          <w:szCs w:val="28"/>
        </w:rPr>
      </w:pPr>
      <w:r>
        <w:rPr>
          <w:sz w:val="28"/>
          <w:szCs w:val="28"/>
        </w:rPr>
        <w:t>5/ Vì sao chúng ta phải bảo vệ Tổ quốc? Trách nhiệm của công dân - học sinh đối với sự nghiệp bảo vệ Tổ quốc?</w:t>
      </w:r>
    </w:p>
    <w:p w:rsidR="00477B46" w:rsidRDefault="00477B46" w:rsidP="00477B46">
      <w:pPr>
        <w:spacing w:line="360" w:lineRule="auto"/>
        <w:rPr>
          <w:sz w:val="28"/>
          <w:szCs w:val="28"/>
        </w:rPr>
      </w:pPr>
      <w:r>
        <w:rPr>
          <w:sz w:val="28"/>
          <w:szCs w:val="28"/>
        </w:rPr>
        <w:t xml:space="preserve">6/ Thế nào là sống có đạo đức và tuân theo pháp luật? Mối quan hệ giữa sống có đạo đức và tuân theo pháp luật? </w:t>
      </w:r>
    </w:p>
    <w:p w:rsidR="00477B46" w:rsidRDefault="00477B46" w:rsidP="00477B46">
      <w:pPr>
        <w:spacing w:line="360" w:lineRule="auto"/>
        <w:rPr>
          <w:b/>
          <w:sz w:val="28"/>
          <w:szCs w:val="28"/>
        </w:rPr>
      </w:pPr>
      <w:r>
        <w:rPr>
          <w:b/>
          <w:sz w:val="28"/>
          <w:szCs w:val="28"/>
        </w:rPr>
        <w:t>III/ Bài tập</w:t>
      </w:r>
    </w:p>
    <w:p w:rsidR="00477B46" w:rsidRDefault="00477B46" w:rsidP="00477B46">
      <w:pPr>
        <w:spacing w:line="360" w:lineRule="auto"/>
        <w:rPr>
          <w:sz w:val="28"/>
          <w:szCs w:val="28"/>
        </w:rPr>
      </w:pPr>
      <w:r>
        <w:rPr>
          <w:sz w:val="28"/>
          <w:szCs w:val="28"/>
        </w:rPr>
        <w:t>1/ Trắc nghiệm lựa chọn một đáp án đúng nhất.</w:t>
      </w:r>
    </w:p>
    <w:p w:rsidR="00477B46" w:rsidRDefault="00477B46" w:rsidP="00477B46">
      <w:pPr>
        <w:spacing w:line="360" w:lineRule="auto"/>
        <w:rPr>
          <w:sz w:val="28"/>
          <w:szCs w:val="28"/>
        </w:rPr>
      </w:pPr>
      <w:r>
        <w:rPr>
          <w:sz w:val="28"/>
          <w:szCs w:val="28"/>
        </w:rPr>
        <w:t>2/ Xử lí tình huống về vi phạm pháp luật</w:t>
      </w:r>
    </w:p>
    <w:p w:rsidR="00477B46" w:rsidRDefault="00477B46" w:rsidP="00477B46">
      <w:pPr>
        <w:spacing w:line="360" w:lineRule="auto"/>
        <w:rPr>
          <w:sz w:val="28"/>
          <w:szCs w:val="28"/>
        </w:rPr>
      </w:pPr>
      <w:r>
        <w:rPr>
          <w:sz w:val="28"/>
          <w:szCs w:val="28"/>
        </w:rPr>
        <w:t>3/ Liên hệ về nghĩa vụ bảo vệ Tổ quốc.</w:t>
      </w:r>
    </w:p>
    <w:tbl>
      <w:tblPr>
        <w:tblW w:w="10314" w:type="dxa"/>
        <w:tblLook w:val="04A0" w:firstRow="1" w:lastRow="0" w:firstColumn="1" w:lastColumn="0" w:noHBand="0" w:noVBand="1"/>
      </w:tblPr>
      <w:tblGrid>
        <w:gridCol w:w="2433"/>
        <w:gridCol w:w="2353"/>
        <w:gridCol w:w="2977"/>
        <w:gridCol w:w="2551"/>
      </w:tblGrid>
      <w:tr w:rsidR="00C33DE7" w:rsidTr="00F76C55">
        <w:tc>
          <w:tcPr>
            <w:tcW w:w="2433" w:type="dxa"/>
            <w:hideMark/>
          </w:tcPr>
          <w:p w:rsidR="00C33DE7" w:rsidRDefault="00C33DE7" w:rsidP="00F76C55">
            <w:pPr>
              <w:spacing w:line="360" w:lineRule="auto"/>
              <w:jc w:val="center"/>
              <w:rPr>
                <w:b/>
                <w:sz w:val="28"/>
                <w:szCs w:val="28"/>
              </w:rPr>
            </w:pPr>
            <w:r>
              <w:rPr>
                <w:b/>
                <w:sz w:val="28"/>
                <w:szCs w:val="28"/>
              </w:rPr>
              <w:t>BGH duyệt</w:t>
            </w:r>
          </w:p>
        </w:tc>
        <w:tc>
          <w:tcPr>
            <w:tcW w:w="2353" w:type="dxa"/>
          </w:tcPr>
          <w:p w:rsidR="00C33DE7" w:rsidRDefault="00C33DE7" w:rsidP="00F76C55">
            <w:pPr>
              <w:spacing w:line="360" w:lineRule="auto"/>
              <w:jc w:val="center"/>
              <w:rPr>
                <w:b/>
                <w:sz w:val="28"/>
                <w:szCs w:val="28"/>
              </w:rPr>
            </w:pPr>
          </w:p>
        </w:tc>
        <w:tc>
          <w:tcPr>
            <w:tcW w:w="2977" w:type="dxa"/>
            <w:hideMark/>
          </w:tcPr>
          <w:p w:rsidR="00C33DE7" w:rsidRDefault="00C33DE7" w:rsidP="00F76C55">
            <w:pPr>
              <w:spacing w:line="360" w:lineRule="auto"/>
              <w:jc w:val="center"/>
              <w:rPr>
                <w:b/>
                <w:sz w:val="28"/>
                <w:szCs w:val="28"/>
              </w:rPr>
            </w:pPr>
            <w:r>
              <w:rPr>
                <w:b/>
                <w:sz w:val="28"/>
                <w:szCs w:val="28"/>
              </w:rPr>
              <w:t>Nhóm trưởng</w:t>
            </w:r>
          </w:p>
        </w:tc>
        <w:tc>
          <w:tcPr>
            <w:tcW w:w="2551" w:type="dxa"/>
          </w:tcPr>
          <w:p w:rsidR="00C33DE7" w:rsidRDefault="00C33DE7" w:rsidP="00F76C55">
            <w:pPr>
              <w:spacing w:line="360" w:lineRule="auto"/>
              <w:jc w:val="center"/>
              <w:rPr>
                <w:b/>
                <w:sz w:val="28"/>
                <w:szCs w:val="28"/>
              </w:rPr>
            </w:pPr>
          </w:p>
        </w:tc>
      </w:tr>
      <w:tr w:rsidR="00C33DE7" w:rsidTr="00F76C55">
        <w:tc>
          <w:tcPr>
            <w:tcW w:w="2433" w:type="dxa"/>
          </w:tcPr>
          <w:p w:rsidR="00C33DE7" w:rsidRDefault="00C33DE7" w:rsidP="00F76C55">
            <w:pPr>
              <w:spacing w:line="360" w:lineRule="auto"/>
              <w:rPr>
                <w:b/>
                <w:i/>
                <w:sz w:val="28"/>
                <w:szCs w:val="28"/>
              </w:rPr>
            </w:pPr>
          </w:p>
          <w:p w:rsidR="00C33DE7" w:rsidRDefault="00C33DE7" w:rsidP="00F76C55">
            <w:pPr>
              <w:spacing w:line="360" w:lineRule="auto"/>
              <w:jc w:val="center"/>
              <w:rPr>
                <w:b/>
                <w:i/>
                <w:sz w:val="28"/>
                <w:szCs w:val="28"/>
              </w:rPr>
            </w:pPr>
            <w:r>
              <w:rPr>
                <w:b/>
                <w:i/>
                <w:sz w:val="28"/>
                <w:szCs w:val="28"/>
              </w:rPr>
              <w:t>Lê Thị Hồng Thái</w:t>
            </w:r>
          </w:p>
        </w:tc>
        <w:tc>
          <w:tcPr>
            <w:tcW w:w="2353" w:type="dxa"/>
          </w:tcPr>
          <w:p w:rsidR="00C33DE7" w:rsidRDefault="00C33DE7" w:rsidP="00F76C55">
            <w:pPr>
              <w:spacing w:line="360" w:lineRule="auto"/>
              <w:rPr>
                <w:b/>
                <w:i/>
                <w:sz w:val="28"/>
                <w:szCs w:val="28"/>
              </w:rPr>
            </w:pPr>
          </w:p>
          <w:p w:rsidR="00C33DE7" w:rsidRDefault="00C33DE7" w:rsidP="00F76C55">
            <w:pPr>
              <w:spacing w:line="360" w:lineRule="auto"/>
              <w:jc w:val="center"/>
              <w:rPr>
                <w:b/>
                <w:i/>
                <w:sz w:val="28"/>
                <w:szCs w:val="28"/>
              </w:rPr>
            </w:pPr>
          </w:p>
        </w:tc>
        <w:tc>
          <w:tcPr>
            <w:tcW w:w="2977" w:type="dxa"/>
          </w:tcPr>
          <w:p w:rsidR="00C33DE7" w:rsidRDefault="00C33DE7" w:rsidP="00F76C55">
            <w:pPr>
              <w:spacing w:line="360" w:lineRule="auto"/>
              <w:rPr>
                <w:b/>
                <w:i/>
                <w:sz w:val="28"/>
                <w:szCs w:val="28"/>
              </w:rPr>
            </w:pPr>
          </w:p>
          <w:p w:rsidR="00C33DE7" w:rsidRDefault="00C33DE7" w:rsidP="00F76C55">
            <w:pPr>
              <w:spacing w:line="360" w:lineRule="auto"/>
              <w:jc w:val="center"/>
              <w:rPr>
                <w:b/>
                <w:i/>
                <w:sz w:val="28"/>
                <w:szCs w:val="28"/>
              </w:rPr>
            </w:pPr>
            <w:r>
              <w:rPr>
                <w:b/>
                <w:i/>
                <w:sz w:val="28"/>
                <w:szCs w:val="28"/>
              </w:rPr>
              <w:t>Nguyễn T. Bích Ngân</w:t>
            </w:r>
          </w:p>
        </w:tc>
        <w:tc>
          <w:tcPr>
            <w:tcW w:w="2551" w:type="dxa"/>
          </w:tcPr>
          <w:p w:rsidR="00C33DE7" w:rsidRDefault="00C33DE7" w:rsidP="00F76C55">
            <w:pPr>
              <w:spacing w:line="360" w:lineRule="auto"/>
              <w:jc w:val="center"/>
              <w:rPr>
                <w:b/>
                <w:i/>
                <w:sz w:val="28"/>
                <w:szCs w:val="28"/>
              </w:rPr>
            </w:pPr>
          </w:p>
        </w:tc>
      </w:tr>
    </w:tbl>
    <w:p w:rsidR="00C33DE7" w:rsidRDefault="00C33DE7" w:rsidP="00C33DE7">
      <w:pPr>
        <w:spacing w:line="360" w:lineRule="auto"/>
        <w:jc w:val="both"/>
        <w:rPr>
          <w:sz w:val="28"/>
          <w:szCs w:val="28"/>
        </w:rPr>
      </w:pPr>
    </w:p>
    <w:p w:rsidR="000E403C" w:rsidRDefault="000E403C">
      <w:bookmarkStart w:id="0" w:name="_GoBack"/>
      <w:bookmarkEnd w:id="0"/>
    </w:p>
    <w:sectPr w:rsidR="000E403C" w:rsidSect="00C33DE7">
      <w:pgSz w:w="12240" w:h="15840"/>
      <w:pgMar w:top="567" w:right="56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DE7"/>
    <w:rsid w:val="000E403C"/>
    <w:rsid w:val="002F748C"/>
    <w:rsid w:val="003E0B20"/>
    <w:rsid w:val="00477B46"/>
    <w:rsid w:val="009954AE"/>
    <w:rsid w:val="00C33DE7"/>
    <w:rsid w:val="00D7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E11F"/>
  <w15:chartTrackingRefBased/>
  <w15:docId w15:val="{E475F5C1-02BF-404D-804D-D8198370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D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tu8t8t tu8t8t</dc:creator>
  <cp:keywords/>
  <dc:description/>
  <cp:lastModifiedBy>tu8t8t tu8t8t</cp:lastModifiedBy>
  <cp:revision>2</cp:revision>
  <dcterms:created xsi:type="dcterms:W3CDTF">2019-03-26T06:07:00Z</dcterms:created>
  <dcterms:modified xsi:type="dcterms:W3CDTF">2019-03-26T06:07:00Z</dcterms:modified>
</cp:coreProperties>
</file>