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6AAB">
      <w:pPr>
        <w:pStyle w:val="NormalWeb"/>
        <w:spacing w:line="288" w:lineRule="auto"/>
        <w:ind w:firstLine="720"/>
        <w:jc w:val="center"/>
        <w:outlineLvl w:val="2"/>
        <w:divId w:val="1482581019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LỚN 5-6 TUỔI - LỚP MGL A1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A1, Nguyễn Kim Oanh , Vũ Thu Thúy , Phạm Thị Thu Hiền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1482581019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jc w:val="center"/>
              <w:divId w:val="188154867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jc w:val="center"/>
              <w:divId w:val="197972286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30/01 đến 03/02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jc w:val="center"/>
              <w:divId w:val="7956634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06/02 đến 10/02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jc w:val="center"/>
              <w:divId w:val="44338342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13/02 đến 17/02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jc w:val="center"/>
              <w:divId w:val="11076263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20/02 đến 24/02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jc w:val="center"/>
              <w:divId w:val="125523745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4825810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đi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u,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các m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u câu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anh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tra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Vươn cao, hít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lên cao –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vai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m,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bên,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g hông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cơ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ngôn ng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đã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qua, các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các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trên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a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p chí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(th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nào trong năm,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x</w:t>
            </w:r>
            <w:r>
              <w:rPr>
                <w:rStyle w:val="plan-content-pre1"/>
              </w:rPr>
              <w:t>uân, ch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hoa, cúng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niên, giao th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a, đi chúc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đi chùa….)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(bánh chưng, m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mâm ngũ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n, xem vi deo,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mùa xuân theo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vă</w:t>
            </w:r>
            <w:r>
              <w:rPr>
                <w:rStyle w:val="plan-content-pre1"/>
              </w:rPr>
              <w:t>n hoá VN: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, Chùa Hương,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t….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DH : Bánh chưng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+ NH : Ngày tết quê em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TC:Ai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Bắt và ném bóng bằng 2 tay với người đối diện khoảng cách 4m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DH: Xúc xắc, xúc xẻ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+ NH: Tết là tết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Nhẩy lò cò ít nhất 5 bước, liên tục, đổi chân theo yêu cầu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148258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Sự tích bánh chưng, bánh dày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cái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b, d, đ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Sự tích cây vú sữa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chữ cái h, k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Phong tục ngày Tết cổ truyền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Món ăn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Lễ hội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sự phát triển của cây từ hạt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sắp xếp theo qui tắc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phải – trái của đối tượng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trên, dưới, trước, sau của đối tượng khác có sự định hướng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các con số trong cuộc sống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hoa đào, hoa mai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hoa quả trong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tranh đông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6AA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 từ lá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r>
              <w:rPr>
                <w:rStyle w:val="plan-content-pre1"/>
              </w:rPr>
              <w:t>* Quan sát: cây hoa đào; cây qu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t; hoa cúc vàng, bánh chưng, </w:t>
            </w:r>
            <w:r>
              <w:rPr>
                <w:rStyle w:val="plan-content-pre1"/>
              </w:rPr>
              <w:t>mâm ngũ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bao lì xì, không khí mùa xuân,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 thiên nhiên..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TCVĐ: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,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hoa, ném boling,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bóng, Đu quay, gánh hoa qua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ném bóng,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bóng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t bóng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</w:t>
            </w:r>
            <w:r>
              <w:rPr>
                <w:rStyle w:val="plan-content-pre1"/>
              </w:rPr>
              <w:t>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ng tâm: </w:t>
            </w:r>
            <w:r>
              <w:rPr>
                <w:rStyle w:val="plan-content-pre1"/>
              </w:rPr>
              <w:t>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(T1);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(T2); Làm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lê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mùa xuân (T3);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khu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cây nhà bé( 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ăn, cô giáo, bán hàng, bác sĩ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hinh: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t>dán, trang trí, làm tranh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và mùa xuân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(k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cây nêu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–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“Thơ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Chơi các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Mon,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tư duy ôn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phía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– phía trái, trên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i,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sau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khác.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theo qui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3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ng. Tô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0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9. So sánh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3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Tìm,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chân,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tô màu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b, d, đ, h, k,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Khám phá: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giác bàn tay và bàn chân khi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xúc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u khác nhau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ng công viên mùa xuân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Đan nong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theo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u. L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đong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đo khác nhau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 kĩ năng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tinh: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cài,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cúc, xâu dây giày, đóng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phéc mơ tuya,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trong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t: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qu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khi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phòng, khoá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lastRenderedPageBreak/>
              <w:t>vòi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sau khi dùng,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a,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c ăn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kĩ năng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chăn đúng cách sau khi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cây vú s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 xml:space="preserve">Hoạt </w:t>
            </w:r>
            <w:r>
              <w:rPr>
                <w:rStyle w:val="Strong"/>
                <w:rFonts w:eastAsia="Times New Roman"/>
              </w:rPr>
              <w:t>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TC: Chơi ĐC Mon: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tương 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ng, ghép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tương 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Đóng k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bánh chưng – bánh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y.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thơ chúc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ông bà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têt và mùa xuân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chì, kĩ năng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mâm ngũ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xé dán,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các kĩ năng: kĩ năng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cùng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chơi nhóm,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các câu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theo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phòng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825810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46A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46AAB">
            <w:pPr>
              <w:pStyle w:val="text-center-report"/>
              <w:spacing w:before="0" w:beforeAutospacing="0" w:after="0" w:afterAutospacing="0"/>
              <w:divId w:val="1699501520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846AAB">
            <w:pPr>
              <w:rPr>
                <w:rFonts w:eastAsia="Times New Roman"/>
              </w:rPr>
            </w:pP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846AAB">
            <w:pPr>
              <w:pStyle w:val="text-center-report"/>
              <w:spacing w:before="0" w:beforeAutospacing="0" w:after="0" w:afterAutospacing="0"/>
              <w:divId w:val="908536482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846AAB">
            <w:pPr>
              <w:rPr>
                <w:rFonts w:eastAsia="Times New Roman"/>
              </w:rPr>
            </w:pPr>
          </w:p>
          <w:p w:rsidR="00000000" w:rsidRDefault="00846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846AAB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6AAB"/>
    <w:rsid w:val="008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5A7F3-C230-49BC-BE93-F5D42DF2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6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2023-02-08T02:51:00Z</dcterms:created>
  <dcterms:modified xsi:type="dcterms:W3CDTF">2023-02-08T02:51:00Z</dcterms:modified>
</cp:coreProperties>
</file>