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77" w:rsidRDefault="00642077" w:rsidP="0064207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40"/>
          <w:szCs w:val="40"/>
        </w:rPr>
      </w:pPr>
      <w:proofErr w:type="spellStart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>Phòng</w:t>
      </w:r>
      <w:proofErr w:type="spellEnd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>chống</w:t>
      </w:r>
      <w:proofErr w:type="spellEnd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 xml:space="preserve"> </w:t>
      </w:r>
      <w:proofErr w:type="gramStart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>tai</w:t>
      </w:r>
      <w:proofErr w:type="gramEnd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>nạn</w:t>
      </w:r>
      <w:proofErr w:type="spellEnd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>thương</w:t>
      </w:r>
      <w:proofErr w:type="spellEnd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>tích</w:t>
      </w:r>
      <w:proofErr w:type="spellEnd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>xây</w:t>
      </w:r>
      <w:proofErr w:type="spellEnd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>dựng</w:t>
      </w:r>
      <w:proofErr w:type="spellEnd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>cộng</w:t>
      </w:r>
      <w:proofErr w:type="spellEnd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>đồng</w:t>
      </w:r>
      <w:proofErr w:type="spellEnd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 xml:space="preserve"> an </w:t>
      </w:r>
      <w:proofErr w:type="spellStart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>toàn</w:t>
      </w:r>
      <w:proofErr w:type="spellEnd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>cho</w:t>
      </w:r>
      <w:proofErr w:type="spellEnd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111111"/>
          <w:kern w:val="36"/>
          <w:sz w:val="40"/>
          <w:szCs w:val="40"/>
        </w:rPr>
        <w:t>trẻ</w:t>
      </w:r>
      <w:proofErr w:type="spellEnd"/>
    </w:p>
    <w:p w:rsidR="00642077" w:rsidRPr="00642077" w:rsidRDefault="00642077" w:rsidP="0064207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40"/>
          <w:szCs w:val="40"/>
        </w:rPr>
      </w:pPr>
    </w:p>
    <w:tbl>
      <w:tblPr>
        <w:tblW w:w="0" w:type="auto"/>
        <w:tblInd w:w="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9429"/>
      </w:tblGrid>
      <w:tr w:rsidR="00642077" w:rsidRPr="00642077" w:rsidTr="006420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bottom"/>
            <w:hideMark/>
          </w:tcPr>
          <w:p w:rsidR="00642077" w:rsidRPr="00642077" w:rsidRDefault="00642077" w:rsidP="00642077">
            <w:pPr>
              <w:spacing w:after="165" w:line="240" w:lineRule="auto"/>
              <w:jc w:val="center"/>
              <w:textAlignment w:val="baseline"/>
              <w:divId w:val="1962226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20000" cy="5259705"/>
                  <wp:effectExtent l="19050" t="0" r="0" b="0"/>
                  <wp:docPr id="2" name="Picture 2" descr="http://cdn.kinhtedothi.vn/528/2020/10/30/111111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dn.kinhtedothi.vn/528/2020/10/30/111111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25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tránh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về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tai </w:t>
            </w:r>
            <w:proofErr w:type="spellStart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nạn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thương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tích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, </w:t>
            </w:r>
            <w:proofErr w:type="spellStart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và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cách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xử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lý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tình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huống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 </w:t>
            </w:r>
          </w:p>
        </w:tc>
      </w:tr>
      <w:tr w:rsidR="00642077" w:rsidRPr="00642077" w:rsidTr="00642077">
        <w:tc>
          <w:tcPr>
            <w:tcW w:w="0" w:type="auto"/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42077" w:rsidRPr="00642077" w:rsidRDefault="00642077" w:rsidP="0064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2077" w:rsidRPr="00642077" w:rsidRDefault="00642077" w:rsidP="00642077">
      <w:pPr>
        <w:spacing w:after="16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Tai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thương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tích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là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nguyên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nhân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chính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gây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tổn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thất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lớn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về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người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tài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sản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cho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xã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hội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>.</w:t>
      </w:r>
      <w:proofErr w:type="gram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Theo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ước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tính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của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Tổ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chức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Y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tế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Thế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giới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(WHO),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hàng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năm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có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trên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5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triệu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trường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hợp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tử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vong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hàng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chục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triệu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người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bị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thương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do </w:t>
      </w:r>
      <w:proofErr w:type="gram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tai</w:t>
      </w:r>
      <w:proofErr w:type="gram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thương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tích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trên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toàn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thế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giới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. Tai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thương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tích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là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nguyên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nhân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hàng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đầu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của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gánh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nặng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bệnh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tật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tử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vong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đặc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biệt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là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trong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nhóm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dân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số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trẻ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trong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độ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tuổi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lao</w:t>
      </w:r>
      <w:proofErr w:type="spellEnd"/>
      <w:proofErr w:type="gram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động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Mỗi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năm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có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tới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trên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1</w:t>
      </w:r>
      <w:proofErr w:type="gram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,2</w:t>
      </w:r>
      <w:proofErr w:type="gram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triệu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trường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hợp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tử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vong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do tai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giao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thông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trên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600.000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trẻ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em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dưới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15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tuổi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tử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lastRenderedPageBreak/>
        <w:t>vong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do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đuối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nước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Trên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2/3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số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trường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hợp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đó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xảy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ra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tại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các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nước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có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thu</w:t>
      </w:r>
      <w:proofErr w:type="spellEnd"/>
      <w:proofErr w:type="gram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nhập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thấp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trung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bình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642077" w:rsidRPr="00642077" w:rsidRDefault="00642077" w:rsidP="00642077">
      <w:pPr>
        <w:spacing w:after="16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Ở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Việt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Nam,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theo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thống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kê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của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Bộ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Y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tế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ước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tính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mỗi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ngày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có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tới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3.600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trường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hợp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gặp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tai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thương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tích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90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người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tử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vong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Trong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đó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gram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tai</w:t>
      </w:r>
      <w:proofErr w:type="gram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giao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thông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đuối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nước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là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nguyên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nhân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hàng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đầu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gây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tử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vong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proofErr w:type="spellStart"/>
      <w:proofErr w:type="gram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Đuối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nước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là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nguyên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nhân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gây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tử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vong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lớn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nhất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ở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trẻ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em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dưới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19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tuổi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cướp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mạng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sống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của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3.000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trẻ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em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mỗi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năm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>.</w:t>
      </w:r>
      <w:proofErr w:type="gramEnd"/>
    </w:p>
    <w:p w:rsidR="00642077" w:rsidRPr="00642077" w:rsidRDefault="00642077" w:rsidP="00642077">
      <w:pPr>
        <w:spacing w:after="16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Trong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thời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gian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qua,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Việt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Nam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đã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phối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hợp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tích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cực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với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các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vị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trong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ngoài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nước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trong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công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tác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phòng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chống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tai</w:t>
      </w:r>
      <w:proofErr w:type="gram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thương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tích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Bộ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Y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tế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đã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chủ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động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phối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hợp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với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các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bộ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ngành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liên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quan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triển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khai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sâu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rộng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các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nhiệm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vụ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phòng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chống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tai</w:t>
      </w:r>
      <w:proofErr w:type="gram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thương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tích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của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ngành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y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tế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đã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đạt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được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kết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quả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khả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quan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Cụ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thể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hệ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thống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giám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sát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số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ca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mắc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tử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vong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do </w:t>
      </w:r>
      <w:proofErr w:type="gram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tai</w:t>
      </w:r>
      <w:proofErr w:type="gram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thương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tích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đã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được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thiết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lập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làm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cơ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sở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xây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dựng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các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chính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sách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Việc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can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thiệp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phòng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chống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tai</w:t>
      </w:r>
      <w:proofErr w:type="gram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thương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tích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như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đội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mũ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bảo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hiểm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khi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mô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tô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xe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máy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không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sử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dụng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rượu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bia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khi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tham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gia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giao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thông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…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được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tiến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hành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thường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xuyên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Đồng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thời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chương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trình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quốc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gia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về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phòng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chống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tai</w:t>
      </w:r>
      <w:proofErr w:type="gram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thương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tích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đã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được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xây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dựng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triển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khai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hiệu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quả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>…</w:t>
      </w:r>
    </w:p>
    <w:tbl>
      <w:tblPr>
        <w:tblW w:w="0" w:type="auto"/>
        <w:tblInd w:w="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9429"/>
      </w:tblGrid>
      <w:tr w:rsidR="00642077" w:rsidRPr="00642077" w:rsidTr="006420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bottom"/>
            <w:hideMark/>
          </w:tcPr>
          <w:p w:rsidR="00642077" w:rsidRPr="00642077" w:rsidRDefault="00642077" w:rsidP="00642077">
            <w:pPr>
              <w:spacing w:after="165" w:line="240" w:lineRule="auto"/>
              <w:jc w:val="center"/>
              <w:textAlignment w:val="baseline"/>
              <w:divId w:val="15709207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606687" cy="3849189"/>
                  <wp:effectExtent l="19050" t="0" r="0" b="0"/>
                  <wp:docPr id="3" name="Picture 3" descr="http://cdn.kinhtedothi.vn/528/2020/10/30/e6e586837e698037d9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dn.kinhtedothi.vn/528/2020/10/30/e6e586837e698037d9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1442" cy="3852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tránh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về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tai </w:t>
            </w:r>
            <w:proofErr w:type="spellStart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nạn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thương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tích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, </w:t>
            </w:r>
            <w:proofErr w:type="spellStart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và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cách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xử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lý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tình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huống</w:t>
            </w:r>
            <w:proofErr w:type="spellEnd"/>
            <w:r w:rsidRPr="0064207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> </w:t>
            </w:r>
          </w:p>
        </w:tc>
      </w:tr>
      <w:tr w:rsidR="00642077" w:rsidRPr="00642077" w:rsidTr="00642077">
        <w:tc>
          <w:tcPr>
            <w:tcW w:w="0" w:type="auto"/>
            <w:shd w:val="clear" w:color="auto" w:fill="auto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42077" w:rsidRPr="00642077" w:rsidRDefault="00642077" w:rsidP="0064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2077" w:rsidRPr="00642077" w:rsidRDefault="00642077" w:rsidP="00642077">
      <w:pPr>
        <w:spacing w:after="16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lastRenderedPageBreak/>
        <w:t>Tại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quận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Long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Biên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chương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trình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chăm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sóc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sức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khỏe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Nhân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dân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đặc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biệt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các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hoạt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động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phòng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chống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tai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thương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tích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luôn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được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lãnh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đạo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quận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quan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tâm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chỉ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đạo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triển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khai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đồng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bộ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tại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các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cơ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quan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vị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trường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học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trên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địa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bàn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Các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hoạt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động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truyền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thông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phòng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chống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tai</w:t>
      </w:r>
      <w:proofErr w:type="gram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thương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tích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được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triển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khai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có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hiệu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quả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tại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các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trường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học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cộng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đồng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dân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cư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Kết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quả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100%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các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trường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mầm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non,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tiểu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học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THCS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trên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địa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bàn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quận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đạt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trường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học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an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toàn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5/11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phường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được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UBND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quận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công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nhận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cộng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đồng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an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toàn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tiêu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chuẩn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Việt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Nam,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trong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đó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đảm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bảo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trên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60%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hộ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gia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đình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đạt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hộ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gia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đình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an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toàn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;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người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dân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trên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địa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bàn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chủ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động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phòng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chống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tai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thương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tích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ngay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tại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gia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đình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cộng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đồng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tỷ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lệ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người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tử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vong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do tai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thương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tích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trên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địa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bàn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quận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có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xu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hướng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giảm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642077" w:rsidRPr="00642077" w:rsidRDefault="00642077" w:rsidP="00642077">
      <w:pPr>
        <w:spacing w:after="16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642077">
        <w:rPr>
          <w:rFonts w:ascii="Arial" w:eastAsia="Times New Roman" w:hAnsi="Arial" w:cs="Arial"/>
          <w:color w:val="000000"/>
          <w:sz w:val="28"/>
          <w:szCs w:val="28"/>
        </w:rPr>
        <w:t>“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Để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chế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số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ca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mắc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tử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vong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do </w:t>
      </w:r>
      <w:proofErr w:type="gram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tai</w:t>
      </w:r>
      <w:proofErr w:type="gram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thương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tích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thì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cần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phải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có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sự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chung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tay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của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tất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cả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các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ban,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ngành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đoàn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thể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toàn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cộng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đồng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Trong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thời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gian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tới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hy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vọng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chương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trình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phòng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chống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tai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thương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tích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ngày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càng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được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các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cấp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các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ngành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cộng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đồng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quan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tâm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hơn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giảm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thiểu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những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rủi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do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dẫn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đến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tai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nạn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thương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tích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trẻ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em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góp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phần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bảo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vệ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và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nâng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cao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sức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khỏe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người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dân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trên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địa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bàn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quận</w:t>
      </w:r>
      <w:proofErr w:type="spellEnd"/>
      <w:r w:rsidRPr="00642077">
        <w:rPr>
          <w:rFonts w:ascii="Arial" w:eastAsia="Times New Roman" w:hAnsi="Arial" w:cs="Arial"/>
          <w:color w:val="000000"/>
          <w:sz w:val="28"/>
          <w:szCs w:val="28"/>
        </w:rPr>
        <w:t xml:space="preserve"> Long </w:t>
      </w:r>
      <w:proofErr w:type="spellStart"/>
      <w:r w:rsidRPr="00642077">
        <w:rPr>
          <w:rFonts w:ascii="Arial" w:eastAsia="Times New Roman" w:hAnsi="Arial" w:cs="Arial"/>
          <w:color w:val="000000"/>
          <w:sz w:val="28"/>
          <w:szCs w:val="28"/>
        </w:rPr>
        <w:t>Biên</w:t>
      </w:r>
      <w:proofErr w:type="spellEnd"/>
    </w:p>
    <w:p w:rsidR="00AD2DC6" w:rsidRPr="00642077" w:rsidRDefault="00AD2DC6">
      <w:pPr>
        <w:rPr>
          <w:sz w:val="28"/>
          <w:szCs w:val="28"/>
        </w:rPr>
      </w:pPr>
    </w:p>
    <w:sectPr w:rsidR="00AD2DC6" w:rsidRPr="00642077" w:rsidSect="00AD2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A298A"/>
    <w:multiLevelType w:val="multilevel"/>
    <w:tmpl w:val="B202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/>
  <w:rsids>
    <w:rsidRoot w:val="00642077"/>
    <w:rsid w:val="00642077"/>
    <w:rsid w:val="00AD2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DC6"/>
  </w:style>
  <w:style w:type="paragraph" w:styleId="Heading1">
    <w:name w:val="heading 1"/>
    <w:basedOn w:val="Normal"/>
    <w:link w:val="Heading1Char"/>
    <w:uiPriority w:val="9"/>
    <w:qFormat/>
    <w:rsid w:val="006420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0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meauthor">
    <w:name w:val="name_author"/>
    <w:basedOn w:val="DefaultParagraphFont"/>
    <w:rsid w:val="00642077"/>
  </w:style>
  <w:style w:type="character" w:styleId="Hyperlink">
    <w:name w:val="Hyperlink"/>
    <w:basedOn w:val="DefaultParagraphFont"/>
    <w:uiPriority w:val="99"/>
    <w:semiHidden/>
    <w:unhideWhenUsed/>
    <w:rsid w:val="006420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2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4207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2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6609">
          <w:marLeft w:val="0"/>
          <w:marRight w:val="0"/>
          <w:marTop w:val="2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1770">
              <w:marLeft w:val="0"/>
              <w:marRight w:val="0"/>
              <w:marTop w:val="69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3051">
                  <w:marLeft w:val="0"/>
                  <w:marRight w:val="0"/>
                  <w:marTop w:val="41"/>
                  <w:marBottom w:val="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969488">
              <w:marLeft w:val="0"/>
              <w:marRight w:val="0"/>
              <w:marTop w:val="0"/>
              <w:marBottom w:val="2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7723">
                  <w:marLeft w:val="0"/>
                  <w:marRight w:val="0"/>
                  <w:marTop w:val="0"/>
                  <w:marBottom w:val="1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1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7811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50539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6223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393372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20713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2020-12-31T00:57:00Z</dcterms:created>
  <dcterms:modified xsi:type="dcterms:W3CDTF">2020-12-31T01:01:00Z</dcterms:modified>
</cp:coreProperties>
</file>