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995BED" w:rsidRPr="00995BED" w:rsidTr="00995BED">
        <w:trPr>
          <w:tblCellSpacing w:w="0" w:type="dxa"/>
        </w:trPr>
        <w:tc>
          <w:tcPr>
            <w:tcW w:w="3348" w:type="dxa"/>
            <w:tcMar>
              <w:top w:w="0" w:type="dxa"/>
              <w:left w:w="108" w:type="dxa"/>
              <w:bottom w:w="0" w:type="dxa"/>
              <w:right w:w="108" w:type="dxa"/>
            </w:tcMa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CHÍNH PHỦ</w:t>
            </w:r>
            <w:r w:rsidRPr="00995BED">
              <w:rPr>
                <w:rFonts w:ascii="Times New Roman" w:eastAsia="Times New Roman" w:hAnsi="Times New Roman" w:cs="Times New Roman"/>
                <w:b/>
                <w:bCs/>
                <w:sz w:val="24"/>
                <w:szCs w:val="24"/>
              </w:rPr>
              <w:br/>
              <w:t>-------</w:t>
            </w:r>
          </w:p>
        </w:tc>
        <w:tc>
          <w:tcPr>
            <w:tcW w:w="5508" w:type="dxa"/>
            <w:tcMar>
              <w:top w:w="0" w:type="dxa"/>
              <w:left w:w="108" w:type="dxa"/>
              <w:bottom w:w="0" w:type="dxa"/>
              <w:right w:w="108" w:type="dxa"/>
            </w:tcMa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CỘNG HÒA XÃ HỘI CHỦ NGHĨA VIỆT NAM</w:t>
            </w:r>
            <w:r w:rsidRPr="00995BED">
              <w:rPr>
                <w:rFonts w:ascii="Times New Roman" w:eastAsia="Times New Roman" w:hAnsi="Times New Roman" w:cs="Times New Roman"/>
                <w:b/>
                <w:bCs/>
                <w:sz w:val="24"/>
                <w:szCs w:val="24"/>
              </w:rPr>
              <w:br/>
              <w:t>Độc lập - Tự do - Hạnh phúc</w:t>
            </w:r>
            <w:r w:rsidRPr="00995BED">
              <w:rPr>
                <w:rFonts w:ascii="Times New Roman" w:eastAsia="Times New Roman" w:hAnsi="Times New Roman" w:cs="Times New Roman"/>
                <w:b/>
                <w:bCs/>
                <w:sz w:val="24"/>
                <w:szCs w:val="24"/>
              </w:rPr>
              <w:br/>
              <w:t>---------------</w:t>
            </w:r>
          </w:p>
        </w:tc>
      </w:tr>
      <w:tr w:rsidR="00995BED" w:rsidRPr="00995BED" w:rsidTr="00995BED">
        <w:trPr>
          <w:tblCellSpacing w:w="0" w:type="dxa"/>
        </w:trPr>
        <w:tc>
          <w:tcPr>
            <w:tcW w:w="3348" w:type="dxa"/>
            <w:tcMar>
              <w:top w:w="0" w:type="dxa"/>
              <w:left w:w="108" w:type="dxa"/>
              <w:bottom w:w="0" w:type="dxa"/>
              <w:right w:w="108" w:type="dxa"/>
            </w:tcMa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Số: 135/2020/NĐ-CP</w:t>
            </w:r>
          </w:p>
        </w:tc>
        <w:tc>
          <w:tcPr>
            <w:tcW w:w="5508" w:type="dxa"/>
            <w:tcMar>
              <w:top w:w="0" w:type="dxa"/>
              <w:left w:w="108" w:type="dxa"/>
              <w:bottom w:w="0" w:type="dxa"/>
              <w:right w:w="108" w:type="dxa"/>
            </w:tcMar>
            <w:hideMark/>
          </w:tcPr>
          <w:p w:rsidR="00995BED" w:rsidRPr="00995BED" w:rsidRDefault="00995BED" w:rsidP="00995BED">
            <w:pPr>
              <w:spacing w:before="120" w:after="120" w:line="234" w:lineRule="atLeast"/>
              <w:jc w:val="right"/>
              <w:rPr>
                <w:rFonts w:ascii="Times New Roman" w:eastAsia="Times New Roman" w:hAnsi="Times New Roman" w:cs="Times New Roman"/>
                <w:sz w:val="24"/>
                <w:szCs w:val="24"/>
              </w:rPr>
            </w:pPr>
            <w:r w:rsidRPr="00995BED">
              <w:rPr>
                <w:rFonts w:ascii="Times New Roman" w:eastAsia="Times New Roman" w:hAnsi="Times New Roman" w:cs="Times New Roman"/>
                <w:i/>
                <w:iCs/>
                <w:sz w:val="24"/>
                <w:szCs w:val="24"/>
              </w:rPr>
              <w:t>Hà Nội, ngày 18 tháng 11 năm 2020</w:t>
            </w:r>
          </w:p>
        </w:tc>
      </w:tr>
    </w:tbl>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 </w:t>
      </w:r>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0" w:name="loai_1"/>
      <w:r w:rsidRPr="00995BED">
        <w:rPr>
          <w:rFonts w:ascii="Arial" w:eastAsia="Times New Roman" w:hAnsi="Arial" w:cs="Arial"/>
          <w:b/>
          <w:bCs/>
          <w:color w:val="000000"/>
          <w:sz w:val="24"/>
          <w:szCs w:val="24"/>
          <w:lang w:val="vi-VN"/>
        </w:rPr>
        <w:t>NGHỊ ĐỊNH</w:t>
      </w:r>
      <w:bookmarkEnd w:id="0"/>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1" w:name="loai_1_name"/>
      <w:r w:rsidRPr="00995BED">
        <w:rPr>
          <w:rFonts w:ascii="Arial" w:eastAsia="Times New Roman" w:hAnsi="Arial" w:cs="Arial"/>
          <w:color w:val="000000"/>
          <w:sz w:val="18"/>
          <w:szCs w:val="18"/>
          <w:lang w:val="vi-VN"/>
        </w:rPr>
        <w:t>QUY ĐỊNH VỀ TUỔI NGHỈ HƯU</w:t>
      </w:r>
      <w:bookmarkEnd w:id="1"/>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i/>
          <w:iCs/>
          <w:color w:val="000000"/>
          <w:sz w:val="18"/>
          <w:szCs w:val="18"/>
          <w:lang w:val="vi-VN"/>
        </w:rPr>
        <w:t>Căn cứ Luật Tổ chức Chính phủ ngày 19 tháng 6 năm 2015;</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i/>
          <w:iCs/>
          <w:color w:val="000000"/>
          <w:sz w:val="18"/>
          <w:szCs w:val="18"/>
          <w:lang w:val="vi-VN"/>
        </w:rPr>
        <w:t>Căn cứ Luật sửa đổi, bổ sung một số điều của Luật Tổ chức Chính phủ và Luật Tổ chức chính quyền địa phương ngày 22 tháng 11 năm 2019;</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i/>
          <w:iCs/>
          <w:color w:val="000000"/>
          <w:sz w:val="18"/>
          <w:szCs w:val="18"/>
          <w:lang w:val="vi-VN"/>
        </w:rPr>
        <w:t>Căn cứ Bộ luật Lao động ngày 20 tháng 11 năm 2019;</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i/>
          <w:iCs/>
          <w:color w:val="000000"/>
          <w:sz w:val="18"/>
          <w:szCs w:val="18"/>
          <w:lang w:val="vi-VN"/>
        </w:rPr>
        <w:t>Căn cứ Luật Bảo hiểm xã hội ngày 20 tháng 11 năm 2014;</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i/>
          <w:iCs/>
          <w:color w:val="000000"/>
          <w:sz w:val="18"/>
          <w:szCs w:val="18"/>
          <w:lang w:val="vi-VN"/>
        </w:rPr>
        <w:t>Theo đề nghị của Bộ trưởng Bộ Lao động - Thương binh và Xã hội;</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i/>
          <w:iCs/>
          <w:color w:val="000000"/>
          <w:sz w:val="18"/>
          <w:szCs w:val="18"/>
          <w:lang w:val="vi-VN"/>
        </w:rPr>
        <w:t>Chính phủ ban hành Nghị định quy định về tuổi nghỉ hưu.</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2" w:name="dieu_1"/>
      <w:r w:rsidRPr="00995BED">
        <w:rPr>
          <w:rFonts w:ascii="Arial" w:eastAsia="Times New Roman" w:hAnsi="Arial" w:cs="Arial"/>
          <w:b/>
          <w:bCs/>
          <w:color w:val="000000"/>
          <w:sz w:val="18"/>
          <w:szCs w:val="18"/>
          <w:lang w:val="vi-VN"/>
        </w:rPr>
        <w:t>Điều 1. Phạm vi điều chỉnh</w:t>
      </w:r>
      <w:bookmarkEnd w:id="2"/>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Nghị định này quy định chi tiết </w:t>
      </w:r>
      <w:bookmarkStart w:id="3" w:name="dc_1"/>
      <w:r w:rsidRPr="00995BED">
        <w:rPr>
          <w:rFonts w:ascii="Arial" w:eastAsia="Times New Roman" w:hAnsi="Arial" w:cs="Arial"/>
          <w:color w:val="000000"/>
          <w:sz w:val="18"/>
          <w:szCs w:val="18"/>
          <w:lang w:val="vi-VN"/>
        </w:rPr>
        <w:t>Điều 169 của Bộ luật Lao động</w:t>
      </w:r>
      <w:bookmarkEnd w:id="3"/>
      <w:r w:rsidRPr="00995BED">
        <w:rPr>
          <w:rFonts w:ascii="Arial" w:eastAsia="Times New Roman" w:hAnsi="Arial" w:cs="Arial"/>
          <w:color w:val="000000"/>
          <w:sz w:val="18"/>
          <w:szCs w:val="18"/>
          <w:lang w:val="vi-VN"/>
        </w:rPr>
        <w:t> về tuổi nghỉ hưu.</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4" w:name="dieu_2"/>
      <w:r w:rsidRPr="00995BED">
        <w:rPr>
          <w:rFonts w:ascii="Arial" w:eastAsia="Times New Roman" w:hAnsi="Arial" w:cs="Arial"/>
          <w:b/>
          <w:bCs/>
          <w:color w:val="000000"/>
          <w:sz w:val="18"/>
          <w:szCs w:val="18"/>
          <w:lang w:val="vi-VN"/>
        </w:rPr>
        <w:t>Điều 2. Đối tượng áp dụng</w:t>
      </w:r>
      <w:bookmarkEnd w:id="4"/>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1. Người lao động và người sử dụng lao động quy định tại các </w:t>
      </w:r>
      <w:bookmarkStart w:id="5" w:name="dc_2"/>
      <w:r w:rsidRPr="00995BED">
        <w:rPr>
          <w:rFonts w:ascii="Arial" w:eastAsia="Times New Roman" w:hAnsi="Arial" w:cs="Arial"/>
          <w:color w:val="000000"/>
          <w:sz w:val="18"/>
          <w:szCs w:val="18"/>
          <w:lang w:val="vi-VN"/>
        </w:rPr>
        <w:t>khoản 1, 2 và 3 Điều 2 của Bộ luật Lao động</w:t>
      </w:r>
      <w:bookmarkEnd w:id="5"/>
      <w:r w:rsidRPr="00995BED">
        <w:rPr>
          <w:rFonts w:ascii="Arial" w:eastAsia="Times New Roman" w:hAnsi="Arial" w:cs="Arial"/>
          <w:color w:val="000000"/>
          <w:sz w:val="18"/>
          <w:szCs w:val="18"/>
          <w:lang w:val="vi-VN"/>
        </w:rPr>
        <w:t>.</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Cơ quan, tổ chức và cá nhân có liên quan đến bảo hiểm xã hội.</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6" w:name="dieu_3"/>
      <w:r w:rsidRPr="00995BED">
        <w:rPr>
          <w:rFonts w:ascii="Arial" w:eastAsia="Times New Roman" w:hAnsi="Arial" w:cs="Arial"/>
          <w:b/>
          <w:bCs/>
          <w:color w:val="000000"/>
          <w:sz w:val="18"/>
          <w:szCs w:val="18"/>
          <w:lang w:val="vi-VN"/>
        </w:rPr>
        <w:t>Điều 3. Thời điểm nghỉ hưu và thời điểm hưởng chế độ hưu trí</w:t>
      </w:r>
      <w:bookmarkEnd w:id="6"/>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1. Thời điểm nghỉ hưu là kết thúc ngày cuối cùng của tháng đủ tuổi nghỉ hưu theo quy định.</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Đối với trường hợp người lao động tiếp tục làm việc sau khi đã đủ tuổi nghỉ hưu theo quy định thì thời điểm nghỉ hưu là thời điểm chấm dứt hợp đồng lao động.</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Thời điểm hưởng chế độ hưu trí là bắt đầu ngày đầu tiên của tháng liền kề sau thời điểm nghỉ hưu.</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3. Trường hợp hồ sơ của người lao động không xác định được ngày, tháng sinh mà chỉ có năm sinh thì lấy ngày 01 tháng 01 của năm sinh để làm căn cứ xác định thời điểm nghỉ hưu và thời điểm hưởng chế độ hưu trí.</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7" w:name="dieu_4"/>
      <w:r w:rsidRPr="00995BED">
        <w:rPr>
          <w:rFonts w:ascii="Arial" w:eastAsia="Times New Roman" w:hAnsi="Arial" w:cs="Arial"/>
          <w:b/>
          <w:bCs/>
          <w:color w:val="000000"/>
          <w:sz w:val="18"/>
          <w:szCs w:val="18"/>
          <w:lang w:val="vi-VN"/>
        </w:rPr>
        <w:t>Điều 4. Tuổi nghỉ hưu trong điều kiện lao động bình thường</w:t>
      </w:r>
      <w:bookmarkEnd w:id="7"/>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Tuổi nghỉ hưu của người lao động trong điều kiện lao động bình thường theo </w:t>
      </w:r>
      <w:bookmarkStart w:id="8" w:name="dc_3"/>
      <w:r w:rsidRPr="00995BED">
        <w:rPr>
          <w:rFonts w:ascii="Arial" w:eastAsia="Times New Roman" w:hAnsi="Arial" w:cs="Arial"/>
          <w:color w:val="000000"/>
          <w:sz w:val="18"/>
          <w:szCs w:val="18"/>
          <w:lang w:val="vi-VN"/>
        </w:rPr>
        <w:t>khoản 2 Điều 169 của Bộ luật Lao động</w:t>
      </w:r>
      <w:bookmarkEnd w:id="8"/>
      <w:r w:rsidRPr="00995BED">
        <w:rPr>
          <w:rFonts w:ascii="Arial" w:eastAsia="Times New Roman" w:hAnsi="Arial" w:cs="Arial"/>
          <w:color w:val="000000"/>
          <w:sz w:val="18"/>
          <w:szCs w:val="18"/>
          <w:lang w:val="vi-VN"/>
        </w:rPr>
        <w:t> được quy định cụ thể như sau:</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1. Kể từ ngày 01 tháng 01 năm 2021, tuổi nghỉ hưu của người lao động trong điều kiện lao động bình thường là đủ 60 tuổi 03 tháng đối với lao động nam và đủ 55 tuổi 04 tháng đối với lao động nữ; sau đó, cứ mỗi năm tăng thêm 03 tháng đối với lao động nam cho đến khi đủ 62 tuổi vào năm 2028 và cứ mỗi năm tăng thêm 04 tháng đối với lao động nữ cho đến khi đủ 60 tuổi vào năm 2035.</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Lộ trình điều chỉnh tuổi nghỉ hưu của người lao động quy định tại khoản 1 Điều này được thực hiện theo bảng dưới đây:</w:t>
      </w:r>
    </w:p>
    <w:tbl>
      <w:tblPr>
        <w:tblW w:w="5000" w:type="pct"/>
        <w:tblCellSpacing w:w="0" w:type="dxa"/>
        <w:tblCellMar>
          <w:left w:w="0" w:type="dxa"/>
          <w:right w:w="0" w:type="dxa"/>
        </w:tblCellMar>
        <w:tblLook w:val="04A0" w:firstRow="1" w:lastRow="0" w:firstColumn="1" w:lastColumn="0" w:noHBand="0" w:noVBand="1"/>
      </w:tblPr>
      <w:tblGrid>
        <w:gridCol w:w="2335"/>
        <w:gridCol w:w="2335"/>
        <w:gridCol w:w="2335"/>
        <w:gridCol w:w="2335"/>
      </w:tblGrid>
      <w:tr w:rsidR="00995BED" w:rsidRPr="00995BED" w:rsidTr="00995BED">
        <w:trPr>
          <w:trHeight w:val="20"/>
          <w:tblCellSpacing w:w="0" w:type="dxa"/>
        </w:trPr>
        <w:tc>
          <w:tcPr>
            <w:tcW w:w="4603" w:type="dxa"/>
            <w:gridSpan w:val="2"/>
            <w:tcBorders>
              <w:top w:val="single" w:sz="8" w:space="0" w:color="auto"/>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Lao động nam</w:t>
            </w:r>
          </w:p>
        </w:tc>
        <w:tc>
          <w:tcPr>
            <w:tcW w:w="4604" w:type="dxa"/>
            <w:gridSpan w:val="2"/>
            <w:tcBorders>
              <w:top w:val="single" w:sz="8" w:space="0" w:color="auto"/>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Lao động nữ</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 nghỉ hưu</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 nghỉ hưu</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 3 tháng</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4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2022</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 6 tháng</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8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 9 tháng</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4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 3 tháng</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8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 6 tháng</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 9 tháng</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 4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năm 2028 trở đi</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62 tuổi</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 8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58 tuổi</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58 tuổi 4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58 tuổi 8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59 tuổi</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59 tuổi 4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59 tuổi 8 tháng</w:t>
            </w:r>
          </w:p>
        </w:tc>
      </w:tr>
      <w:tr w:rsidR="00995BED" w:rsidRPr="00995BED" w:rsidTr="00995BED">
        <w:trPr>
          <w:trHeight w:val="20"/>
          <w:tblCellSpacing w:w="0" w:type="dxa"/>
        </w:trPr>
        <w:tc>
          <w:tcPr>
            <w:tcW w:w="2301"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năm 2035 trở đi</w:t>
            </w:r>
          </w:p>
        </w:tc>
        <w:tc>
          <w:tcPr>
            <w:tcW w:w="2302"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w:t>
            </w:r>
          </w:p>
        </w:tc>
      </w:tr>
    </w:tbl>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Việc đối chiếu tháng, năm sinh của người lao động tương ứng với tuổi nghỉ hưu quy định tại khoản này theo Phụ lục I ban hành kèm theo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9" w:name="dieu_5"/>
      <w:r w:rsidRPr="00995BED">
        <w:rPr>
          <w:rFonts w:ascii="Arial" w:eastAsia="Times New Roman" w:hAnsi="Arial" w:cs="Arial"/>
          <w:b/>
          <w:bCs/>
          <w:color w:val="000000"/>
          <w:sz w:val="18"/>
          <w:szCs w:val="18"/>
          <w:lang w:val="vi-VN"/>
        </w:rPr>
        <w:t>Điều 5. Nghỉ hưu ở tuổi thấp hơn tuổi nghỉ hưu trong điều kiện lao động bình thường</w:t>
      </w:r>
      <w:bookmarkEnd w:id="9"/>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Nghỉ hưu ở tuổi thấp hơn tuổi nghỉ hưu trong điều kiện lao động bình thường của người lao động theo </w:t>
      </w:r>
      <w:bookmarkStart w:id="10" w:name="dc_4"/>
      <w:r w:rsidRPr="00995BED">
        <w:rPr>
          <w:rFonts w:ascii="Arial" w:eastAsia="Times New Roman" w:hAnsi="Arial" w:cs="Arial"/>
          <w:color w:val="000000"/>
          <w:sz w:val="18"/>
          <w:szCs w:val="18"/>
          <w:lang w:val="vi-VN"/>
        </w:rPr>
        <w:t>khoản 3 Điều 169 của Bộ luật Lao động</w:t>
      </w:r>
      <w:bookmarkEnd w:id="10"/>
      <w:r w:rsidRPr="00995BED">
        <w:rPr>
          <w:rFonts w:ascii="Arial" w:eastAsia="Times New Roman" w:hAnsi="Arial" w:cs="Arial"/>
          <w:color w:val="000000"/>
          <w:sz w:val="18"/>
          <w:szCs w:val="18"/>
          <w:lang w:val="vi-VN"/>
        </w:rPr>
        <w:t> được quy định cụ thể như sau:</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1. Người lao động thuộc các trường hợp dưới đây có thể nghỉ hưu ở tuổi thấp hơn nhưng không quá 05 tuổi so với tuổi nghỉ hưu quy định tại Điều 4 của Nghị định này tại thời điểm nghỉ hưu, trừ trường hợp pháp luật có quy định khác:</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a) Người lao động có từ đủ 15 năm trở lên làm nghề, công việc nặng nhọc, độc hại, nguy hiểm hoặc đặc biệt nặng nhọc, độc hại, nguy hiểm thuộc danh mục do Bộ Lao động - Thương binh và Xã hội ban hành.</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b) Người lao động có từ đủ 15 năm trở lên làm việc ở vùng có điều kiện kinh tế - xã hội đặc biệt khó khăn, bao gồm cả thời gian làm việc ở nơi có phụ cấp khu vực hệ số 0,7 trở lên trước ngày 01 tháng 01 năm 2021.</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Bộ trưởng Bộ Lao động - Thương binh và Xã hội ban hành danh mục vùng có điều kiện kinh tế - xã hội đặc biệt khó khăn.</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c) Người lao động bị suy giảm khả năng lao động từ 61% trở lên.</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d) Người lao động có tổng thời gian làm nghề, công việc quy định tại điểm a và thời gian làm việc ở vùng quy định tại điểm b khoản này từ đủ 15 năm trở lên.</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Tuổi nghỉ hưu thấp nhất của người lao động quy định tại khoản 1 Điều này được thực hiện theo bảng dưới đây:</w:t>
      </w:r>
    </w:p>
    <w:tbl>
      <w:tblPr>
        <w:tblW w:w="5000" w:type="pct"/>
        <w:tblCellSpacing w:w="0" w:type="dxa"/>
        <w:tblCellMar>
          <w:left w:w="0" w:type="dxa"/>
          <w:right w:w="0" w:type="dxa"/>
        </w:tblCellMar>
        <w:tblLook w:val="04A0" w:firstRow="1" w:lastRow="0" w:firstColumn="1" w:lastColumn="0" w:noHBand="0" w:noVBand="1"/>
      </w:tblPr>
      <w:tblGrid>
        <w:gridCol w:w="2334"/>
        <w:gridCol w:w="2567"/>
        <w:gridCol w:w="1795"/>
        <w:gridCol w:w="2644"/>
      </w:tblGrid>
      <w:tr w:rsidR="00995BED" w:rsidRPr="00995BED" w:rsidTr="00995BED">
        <w:trPr>
          <w:trHeight w:val="20"/>
          <w:tblCellSpacing w:w="0" w:type="dxa"/>
        </w:trPr>
        <w:tc>
          <w:tcPr>
            <w:tcW w:w="3821" w:type="dxa"/>
            <w:gridSpan w:val="2"/>
            <w:tcBorders>
              <w:top w:val="single" w:sz="8" w:space="0" w:color="auto"/>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lastRenderedPageBreak/>
              <w:t>Lao động nam</w:t>
            </w:r>
          </w:p>
        </w:tc>
        <w:tc>
          <w:tcPr>
            <w:tcW w:w="3460" w:type="dxa"/>
            <w:gridSpan w:val="2"/>
            <w:tcBorders>
              <w:top w:val="single" w:sz="8" w:space="0" w:color="auto"/>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Lao động nữ</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 nghỉ hưu</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 thấp nhất</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 nghỉ hưu</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 thấp nhất</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3 tháng</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50 tuổi 4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6 tháng</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50 tuổi 8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9 tháng</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51 tuổi</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51 tuổi 4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3 tháng</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51 tuổi 8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6 tháng</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52 tuổi</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9 tháng</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52 tuổi 4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năm 2028 trở đi</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52 tuổi 8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53 tuổi</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53 tuổi 4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53 tuổi 8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54 tuổi</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54 tuổi 4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54 tuổi 8 tháng</w:t>
            </w:r>
          </w:p>
        </w:tc>
      </w:tr>
      <w:tr w:rsidR="00995BED" w:rsidRPr="00995BED" w:rsidTr="00995BED">
        <w:trPr>
          <w:trHeight w:val="20"/>
          <w:tblCellSpacing w:w="0" w:type="dxa"/>
        </w:trPr>
        <w:tc>
          <w:tcPr>
            <w:tcW w:w="1820" w:type="dxa"/>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200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1399"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năm 2035 trở đi</w:t>
            </w:r>
          </w:p>
        </w:tc>
        <w:tc>
          <w:tcPr>
            <w:tcW w:w="2061" w:type="dxa"/>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w:t>
            </w:r>
          </w:p>
        </w:tc>
      </w:tr>
    </w:tbl>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Việc đối chiếu tháng, năm sinh của người lao động tương ứng với tuổi nghỉ hưu quy định tại khoản này theo Phụ lục II ban hành kèm theo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11" w:name="dieu_6"/>
      <w:r w:rsidRPr="00995BED">
        <w:rPr>
          <w:rFonts w:ascii="Arial" w:eastAsia="Times New Roman" w:hAnsi="Arial" w:cs="Arial"/>
          <w:b/>
          <w:bCs/>
          <w:color w:val="000000"/>
          <w:sz w:val="18"/>
          <w:szCs w:val="18"/>
          <w:lang w:val="vi-VN"/>
        </w:rPr>
        <w:t>Điều 6. Nghỉ hưu ở tuổi cao hơn tuổi nghỉ hưu trong điều kiện lao động bình thường</w:t>
      </w:r>
      <w:bookmarkEnd w:id="11"/>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Nghỉ hưu ở tuổi cao hơn tuổi nghỉ hưu trong điều kiện lao động bình thường của người lao động theo </w:t>
      </w:r>
      <w:bookmarkStart w:id="12" w:name="dc_5"/>
      <w:r w:rsidRPr="00995BED">
        <w:rPr>
          <w:rFonts w:ascii="Arial" w:eastAsia="Times New Roman" w:hAnsi="Arial" w:cs="Arial"/>
          <w:color w:val="000000"/>
          <w:sz w:val="18"/>
          <w:szCs w:val="18"/>
          <w:lang w:val="vi-VN"/>
        </w:rPr>
        <w:t>khoản 4 Điều 169 của Bộ luật Lao động</w:t>
      </w:r>
      <w:bookmarkEnd w:id="12"/>
      <w:r w:rsidRPr="00995BED">
        <w:rPr>
          <w:rFonts w:ascii="Arial" w:eastAsia="Times New Roman" w:hAnsi="Arial" w:cs="Arial"/>
          <w:color w:val="000000"/>
          <w:sz w:val="18"/>
          <w:szCs w:val="18"/>
          <w:lang w:val="vi-VN"/>
        </w:rPr>
        <w:t> được quy định cụ thể như sau:</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1. Người lao động có thể nghỉ hưu ở tuổi cao hơn khi thỏa thuận với người sử dụng lao động tiếp tục làm việc sau tuổi nghỉ hưu quy định tại Điều 4 của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Việc chấm dứt hợp đồng lao động và giải quyết chế độ bảo hiểm xã hội đối với người lao động quy định tại khoản 1 Điều này thực hiện theo quy định tại </w:t>
      </w:r>
      <w:bookmarkStart w:id="13" w:name="dc_6"/>
      <w:r w:rsidRPr="00995BED">
        <w:rPr>
          <w:rFonts w:ascii="Arial" w:eastAsia="Times New Roman" w:hAnsi="Arial" w:cs="Arial"/>
          <w:color w:val="000000"/>
          <w:sz w:val="18"/>
          <w:szCs w:val="18"/>
          <w:lang w:val="vi-VN"/>
        </w:rPr>
        <w:t>Mục 3 Chương III của Bộ luật Lao động</w:t>
      </w:r>
      <w:bookmarkEnd w:id="13"/>
      <w:r w:rsidRPr="00995BED">
        <w:rPr>
          <w:rFonts w:ascii="Arial" w:eastAsia="Times New Roman" w:hAnsi="Arial" w:cs="Arial"/>
          <w:color w:val="000000"/>
          <w:sz w:val="18"/>
          <w:szCs w:val="18"/>
          <w:lang w:val="vi-VN"/>
        </w:rPr>
        <w:t> và quy định của pháp luật về bảo hiểm xã hội.</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14" w:name="dieu_7"/>
      <w:r w:rsidRPr="00995BED">
        <w:rPr>
          <w:rFonts w:ascii="Arial" w:eastAsia="Times New Roman" w:hAnsi="Arial" w:cs="Arial"/>
          <w:b/>
          <w:bCs/>
          <w:color w:val="000000"/>
          <w:sz w:val="18"/>
          <w:szCs w:val="18"/>
          <w:lang w:val="vi-VN"/>
        </w:rPr>
        <w:t>Điều 7. Quy định chuyển tiếp</w:t>
      </w:r>
      <w:bookmarkEnd w:id="14"/>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lastRenderedPageBreak/>
        <w:t>1. Từ ngày 01 tháng 01 năm 2021, các quy định của chế độ hưu trí gắn với điều kiện về tuổi hưởng lương hưu theo </w:t>
      </w:r>
      <w:bookmarkStart w:id="15" w:name="dc_7"/>
      <w:r w:rsidRPr="00995BED">
        <w:rPr>
          <w:rFonts w:ascii="Arial" w:eastAsia="Times New Roman" w:hAnsi="Arial" w:cs="Arial"/>
          <w:color w:val="000000"/>
          <w:sz w:val="18"/>
          <w:szCs w:val="18"/>
          <w:lang w:val="vi-VN"/>
        </w:rPr>
        <w:t>Điều 54, Điều 55, khoản 1 Điều 73 của Luật Bảo hiểm xã hội</w:t>
      </w:r>
      <w:bookmarkEnd w:id="15"/>
      <w:r w:rsidRPr="00995BED">
        <w:rPr>
          <w:rFonts w:ascii="Arial" w:eastAsia="Times New Roman" w:hAnsi="Arial" w:cs="Arial"/>
          <w:color w:val="000000"/>
          <w:sz w:val="18"/>
          <w:szCs w:val="18"/>
          <w:lang w:val="vi-VN"/>
        </w:rPr>
        <w:t> được thực hiện theo tuổi nghỉ hưu và điều kiện về tuổi hưởng lương hưu tại </w:t>
      </w:r>
      <w:bookmarkStart w:id="16" w:name="dc_8"/>
      <w:r w:rsidRPr="00995BED">
        <w:rPr>
          <w:rFonts w:ascii="Arial" w:eastAsia="Times New Roman" w:hAnsi="Arial" w:cs="Arial"/>
          <w:color w:val="000000"/>
          <w:sz w:val="18"/>
          <w:szCs w:val="18"/>
          <w:lang w:val="vi-VN"/>
        </w:rPr>
        <w:t>Điều 169, khoản 1 Điều 219 của Bộ luật Lao động</w:t>
      </w:r>
      <w:bookmarkEnd w:id="16"/>
      <w:r w:rsidRPr="00995BED">
        <w:rPr>
          <w:rFonts w:ascii="Arial" w:eastAsia="Times New Roman" w:hAnsi="Arial" w:cs="Arial"/>
          <w:color w:val="000000"/>
          <w:sz w:val="18"/>
          <w:szCs w:val="18"/>
          <w:lang w:val="vi-VN"/>
        </w:rPr>
        <w:t> và quy định tại Nghị định này.</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Đối với lao động nam sinh tháng 12 năm 1960 và lao động nữ sinh tháng 12 năm 1965 làm việc trong điều kiện lao động bình thường thì thời điểm nghỉ hưu là kết thúc ngày 31 tháng 12 năm 2020, thời điểm hưởng lương hưu là bắt đầu ngày 01 tháng 01 năm 2021.</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3. Mốc tuổi để tính số năm nghỉ hưu trước tuổi làm cơ sở tính giảm tỷ lệ hưởng lương hưu quy định tại </w:t>
      </w:r>
      <w:bookmarkStart w:id="17" w:name="dc_9"/>
      <w:r w:rsidRPr="00995BED">
        <w:rPr>
          <w:rFonts w:ascii="Arial" w:eastAsia="Times New Roman" w:hAnsi="Arial" w:cs="Arial"/>
          <w:color w:val="000000"/>
          <w:sz w:val="18"/>
          <w:szCs w:val="18"/>
          <w:lang w:val="vi-VN"/>
        </w:rPr>
        <w:t>khoản 3 Điều 56 của Luật Bảo hiểm xã hội</w:t>
      </w:r>
      <w:bookmarkEnd w:id="17"/>
      <w:r w:rsidRPr="00995BED">
        <w:rPr>
          <w:rFonts w:ascii="Arial" w:eastAsia="Times New Roman" w:hAnsi="Arial" w:cs="Arial"/>
          <w:color w:val="000000"/>
          <w:sz w:val="18"/>
          <w:szCs w:val="18"/>
          <w:lang w:val="vi-VN"/>
        </w:rPr>
        <w:t> được xác định như sau:</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a) Đối với người lao động quy định tại các </w:t>
      </w:r>
      <w:bookmarkStart w:id="18" w:name="dc_10"/>
      <w:r w:rsidRPr="00995BED">
        <w:rPr>
          <w:rFonts w:ascii="Arial" w:eastAsia="Times New Roman" w:hAnsi="Arial" w:cs="Arial"/>
          <w:color w:val="000000"/>
          <w:sz w:val="18"/>
          <w:szCs w:val="18"/>
          <w:lang w:val="vi-VN"/>
        </w:rPr>
        <w:t>điểm a, b, c, d, g, h và i khoản 1 Điều 2 của Luật Bảo hiểm xã hội</w:t>
      </w:r>
      <w:bookmarkEnd w:id="18"/>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Người lao động trong điều kiện lao động bình thường thì lấy mốc tuổi theo </w:t>
      </w:r>
      <w:bookmarkStart w:id="19" w:name="dc_11"/>
      <w:r w:rsidRPr="00995BED">
        <w:rPr>
          <w:rFonts w:ascii="Arial" w:eastAsia="Times New Roman" w:hAnsi="Arial" w:cs="Arial"/>
          <w:color w:val="000000"/>
          <w:sz w:val="18"/>
          <w:szCs w:val="18"/>
          <w:lang w:val="vi-VN"/>
        </w:rPr>
        <w:t>điểm a khoản 1 Điều 54 của Luật Bảo hiểm xã hội</w:t>
      </w:r>
      <w:bookmarkEnd w:id="19"/>
      <w:r w:rsidRPr="00995BED">
        <w:rPr>
          <w:rFonts w:ascii="Arial" w:eastAsia="Times New Roman" w:hAnsi="Arial" w:cs="Arial"/>
          <w:color w:val="000000"/>
          <w:sz w:val="18"/>
          <w:szCs w:val="18"/>
          <w:lang w:val="vi-VN"/>
        </w:rPr>
        <w:t> được sửa đổi, bổ sung tại </w:t>
      </w:r>
      <w:bookmarkStart w:id="20" w:name="dc_12"/>
      <w:r w:rsidRPr="00995BED">
        <w:rPr>
          <w:rFonts w:ascii="Arial" w:eastAsia="Times New Roman" w:hAnsi="Arial" w:cs="Arial"/>
          <w:color w:val="000000"/>
          <w:sz w:val="18"/>
          <w:szCs w:val="18"/>
          <w:lang w:val="vi-VN"/>
        </w:rPr>
        <w:t>điểm a khoản 1 Điều 219 của Bộ luật Lao động</w:t>
      </w:r>
      <w:bookmarkEnd w:id="20"/>
      <w:r w:rsidRPr="00995BED">
        <w:rPr>
          <w:rFonts w:ascii="Arial" w:eastAsia="Times New Roman" w:hAnsi="Arial" w:cs="Arial"/>
          <w:color w:val="000000"/>
          <w:sz w:val="18"/>
          <w:szCs w:val="18"/>
          <w:lang w:val="vi-VN"/>
        </w:rPr>
        <w:t> và Điều 4 của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Người lao động làm nghề, công việc nặng nhọc, độc hại, nguy hiểm hoặc đặc biệt nặng nhọc, độc hại, nguy hiểm hoặc làm việc ở vùng có điều kiện kinh tế - xã hội đặc biệt khó khăn bao gồm cả thời gian làm việc ở nơi có phụ cấp khu vực hệ số 0,7 trở lên trước ngày 01 tháng 01 năm 2021 thì lấy mốc tuổi theo </w:t>
      </w:r>
      <w:bookmarkStart w:id="21" w:name="dc_13"/>
      <w:r w:rsidRPr="00995BED">
        <w:rPr>
          <w:rFonts w:ascii="Arial" w:eastAsia="Times New Roman" w:hAnsi="Arial" w:cs="Arial"/>
          <w:color w:val="000000"/>
          <w:sz w:val="18"/>
          <w:szCs w:val="18"/>
          <w:lang w:val="vi-VN"/>
        </w:rPr>
        <w:t>điểm b khoản 1 Điều 54 của Luật Bảo hiểm xã hội</w:t>
      </w:r>
      <w:bookmarkEnd w:id="21"/>
      <w:r w:rsidRPr="00995BED">
        <w:rPr>
          <w:rFonts w:ascii="Arial" w:eastAsia="Times New Roman" w:hAnsi="Arial" w:cs="Arial"/>
          <w:color w:val="000000"/>
          <w:sz w:val="18"/>
          <w:szCs w:val="18"/>
          <w:lang w:val="vi-VN"/>
        </w:rPr>
        <w:t> được sửa đổi, bổ sung tại </w:t>
      </w:r>
      <w:bookmarkStart w:id="22" w:name="dc_14"/>
      <w:r w:rsidRPr="00995BED">
        <w:rPr>
          <w:rFonts w:ascii="Arial" w:eastAsia="Times New Roman" w:hAnsi="Arial" w:cs="Arial"/>
          <w:color w:val="000000"/>
          <w:sz w:val="18"/>
          <w:szCs w:val="18"/>
          <w:lang w:val="vi-VN"/>
        </w:rPr>
        <w:t>điểm a khoản 1 Điều 219 của Bộ luật Lao động</w:t>
      </w:r>
      <w:bookmarkEnd w:id="22"/>
      <w:r w:rsidRPr="00995BED">
        <w:rPr>
          <w:rFonts w:ascii="Arial" w:eastAsia="Times New Roman" w:hAnsi="Arial" w:cs="Arial"/>
          <w:color w:val="000000"/>
          <w:sz w:val="18"/>
          <w:szCs w:val="18"/>
          <w:lang w:val="vi-VN"/>
        </w:rPr>
        <w:t> và Điều 5 của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Người lao động làm công việc khai thác than trong hầm lò theo quy định tại Phụ lục III ban hành kèm theo Nghị định này thì lấy mốc tuổi giảm 10 tuổi so với tuổi quy định tại </w:t>
      </w:r>
      <w:bookmarkStart w:id="23" w:name="dc_15"/>
      <w:r w:rsidRPr="00995BED">
        <w:rPr>
          <w:rFonts w:ascii="Arial" w:eastAsia="Times New Roman" w:hAnsi="Arial" w:cs="Arial"/>
          <w:color w:val="000000"/>
          <w:sz w:val="18"/>
          <w:szCs w:val="18"/>
          <w:lang w:val="vi-VN"/>
        </w:rPr>
        <w:t>điểm a khoản 1 Điều 54 của Luật Bảo hiểm xã hội</w:t>
      </w:r>
      <w:bookmarkEnd w:id="23"/>
      <w:r w:rsidRPr="00995BED">
        <w:rPr>
          <w:rFonts w:ascii="Arial" w:eastAsia="Times New Roman" w:hAnsi="Arial" w:cs="Arial"/>
          <w:color w:val="000000"/>
          <w:sz w:val="18"/>
          <w:szCs w:val="18"/>
          <w:lang w:val="vi-VN"/>
        </w:rPr>
        <w:t> được sửa đổi, bổ sung tại </w:t>
      </w:r>
      <w:bookmarkStart w:id="24" w:name="dc_16"/>
      <w:r w:rsidRPr="00995BED">
        <w:rPr>
          <w:rFonts w:ascii="Arial" w:eastAsia="Times New Roman" w:hAnsi="Arial" w:cs="Arial"/>
          <w:color w:val="000000"/>
          <w:sz w:val="18"/>
          <w:szCs w:val="18"/>
          <w:lang w:val="vi-VN"/>
        </w:rPr>
        <w:t>điểm a khoản 1 Điều 219 của Bộ luật Lao động</w:t>
      </w:r>
      <w:bookmarkEnd w:id="24"/>
      <w:r w:rsidRPr="00995BED">
        <w:rPr>
          <w:rFonts w:ascii="Arial" w:eastAsia="Times New Roman" w:hAnsi="Arial" w:cs="Arial"/>
          <w:color w:val="000000"/>
          <w:sz w:val="18"/>
          <w:szCs w:val="18"/>
          <w:lang w:val="vi-VN"/>
        </w:rPr>
        <w:t> và Điều 4 của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b) Đối với người lao động quy định tại </w:t>
      </w:r>
      <w:bookmarkStart w:id="25" w:name="dc_17"/>
      <w:r w:rsidRPr="00995BED">
        <w:rPr>
          <w:rFonts w:ascii="Arial" w:eastAsia="Times New Roman" w:hAnsi="Arial" w:cs="Arial"/>
          <w:color w:val="000000"/>
          <w:sz w:val="18"/>
          <w:szCs w:val="18"/>
          <w:lang w:val="vi-VN"/>
        </w:rPr>
        <w:t>điểm đ và điểm e khoản 1 Điều 2 của Luật Bảo hiểm xã hội</w:t>
      </w:r>
      <w:bookmarkEnd w:id="25"/>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Người lao động trong điều kiện lao động bình thường thì lấy mốc tuổi theo </w:t>
      </w:r>
      <w:bookmarkStart w:id="26" w:name="dc_18"/>
      <w:r w:rsidRPr="00995BED">
        <w:rPr>
          <w:rFonts w:ascii="Arial" w:eastAsia="Times New Roman" w:hAnsi="Arial" w:cs="Arial"/>
          <w:color w:val="000000"/>
          <w:sz w:val="18"/>
          <w:szCs w:val="18"/>
          <w:lang w:val="vi-VN"/>
        </w:rPr>
        <w:t>điểm a khoản 2 Điều 54 của Luật Bảo hiểm xã hội</w:t>
      </w:r>
      <w:bookmarkEnd w:id="26"/>
      <w:r w:rsidRPr="00995BED">
        <w:rPr>
          <w:rFonts w:ascii="Arial" w:eastAsia="Times New Roman" w:hAnsi="Arial" w:cs="Arial"/>
          <w:color w:val="000000"/>
          <w:sz w:val="18"/>
          <w:szCs w:val="18"/>
          <w:lang w:val="vi-VN"/>
        </w:rPr>
        <w:t> được sửa đổi, bổ sung tại </w:t>
      </w:r>
      <w:bookmarkStart w:id="27" w:name="dc_19"/>
      <w:r w:rsidRPr="00995BED">
        <w:rPr>
          <w:rFonts w:ascii="Arial" w:eastAsia="Times New Roman" w:hAnsi="Arial" w:cs="Arial"/>
          <w:color w:val="000000"/>
          <w:sz w:val="18"/>
          <w:szCs w:val="18"/>
          <w:lang w:val="vi-VN"/>
        </w:rPr>
        <w:t>điểm a khoản 1 Điều 219 của Bộ luật Lao động</w:t>
      </w:r>
      <w:bookmarkEnd w:id="27"/>
      <w:r w:rsidRPr="00995BED">
        <w:rPr>
          <w:rFonts w:ascii="Arial" w:eastAsia="Times New Roman" w:hAnsi="Arial" w:cs="Arial"/>
          <w:color w:val="000000"/>
          <w:sz w:val="18"/>
          <w:szCs w:val="18"/>
          <w:lang w:val="vi-VN"/>
        </w:rPr>
        <w:t> và Điều 4 của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Người lao động làm nghề, công việc nặng nhọc, độc hại, nguy hiểm hoặc đặc biệt nặng nhọc, độc hại, nguy hiểm hoặc làm việc ở vùng có điều kiện kinh tế - xã hội đặc biệt khó khăn bao gồm cả thời gian làm việc ở nơi có phụ cấp khu vực hệ số 0,7 trở lên trước ngày 01 tháng 01 năm 2021 thì lấy mốc tuổi theo </w:t>
      </w:r>
      <w:bookmarkStart w:id="28" w:name="dc_20"/>
      <w:r w:rsidRPr="00995BED">
        <w:rPr>
          <w:rFonts w:ascii="Arial" w:eastAsia="Times New Roman" w:hAnsi="Arial" w:cs="Arial"/>
          <w:color w:val="000000"/>
          <w:sz w:val="18"/>
          <w:szCs w:val="18"/>
          <w:lang w:val="vi-VN"/>
        </w:rPr>
        <w:t>điểm b khoản 2 Điều 54 của Luật Bảo hiểm xã hội</w:t>
      </w:r>
      <w:bookmarkEnd w:id="28"/>
      <w:r w:rsidRPr="00995BED">
        <w:rPr>
          <w:rFonts w:ascii="Arial" w:eastAsia="Times New Roman" w:hAnsi="Arial" w:cs="Arial"/>
          <w:color w:val="000000"/>
          <w:sz w:val="18"/>
          <w:szCs w:val="18"/>
          <w:lang w:val="vi-VN"/>
        </w:rPr>
        <w:t> được sửa đổi, bổ sung tại </w:t>
      </w:r>
      <w:bookmarkStart w:id="29" w:name="dc_21"/>
      <w:r w:rsidRPr="00995BED">
        <w:rPr>
          <w:rFonts w:ascii="Arial" w:eastAsia="Times New Roman" w:hAnsi="Arial" w:cs="Arial"/>
          <w:color w:val="000000"/>
          <w:sz w:val="18"/>
          <w:szCs w:val="18"/>
          <w:lang w:val="vi-VN"/>
        </w:rPr>
        <w:t>điểm a khoản 1 Điều 219 của Bộ luật Lao động</w:t>
      </w:r>
      <w:bookmarkEnd w:id="29"/>
      <w:r w:rsidRPr="00995BED">
        <w:rPr>
          <w:rFonts w:ascii="Arial" w:eastAsia="Times New Roman" w:hAnsi="Arial" w:cs="Arial"/>
          <w:color w:val="000000"/>
          <w:sz w:val="18"/>
          <w:szCs w:val="18"/>
          <w:lang w:val="vi-VN"/>
        </w:rPr>
        <w:t> và Điều 5 của Nghị định này.</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30" w:name="dieu_8"/>
      <w:r w:rsidRPr="00995BED">
        <w:rPr>
          <w:rFonts w:ascii="Arial" w:eastAsia="Times New Roman" w:hAnsi="Arial" w:cs="Arial"/>
          <w:b/>
          <w:bCs/>
          <w:color w:val="000000"/>
          <w:sz w:val="18"/>
          <w:szCs w:val="18"/>
          <w:lang w:val="vi-VN"/>
        </w:rPr>
        <w:t>Điều 8. Hiệu lực thi hành</w:t>
      </w:r>
      <w:bookmarkEnd w:id="30"/>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1. Nghị định này có hiệu lực thi hành từ ngày 01 tháng 01 năm 2021.</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Kể từ ngày Nghị định này có hiệu lực thi hành, các quy định trước đây trái với Nghị định này và các quy định sau đây hết hiệu lực:</w:t>
      </w:r>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31" w:name="diem_a_2_8"/>
      <w:r w:rsidRPr="00995BED">
        <w:rPr>
          <w:rFonts w:ascii="Arial" w:eastAsia="Times New Roman" w:hAnsi="Arial" w:cs="Arial"/>
          <w:color w:val="000000"/>
          <w:sz w:val="18"/>
          <w:szCs w:val="18"/>
          <w:lang w:val="vi-VN"/>
        </w:rPr>
        <w:t>a)</w:t>
      </w:r>
      <w:bookmarkEnd w:id="31"/>
      <w:r w:rsidRPr="00995BED">
        <w:rPr>
          <w:rFonts w:ascii="Arial" w:eastAsia="Times New Roman" w:hAnsi="Arial" w:cs="Arial"/>
          <w:color w:val="000000"/>
          <w:sz w:val="18"/>
          <w:szCs w:val="18"/>
          <w:lang w:val="vi-VN"/>
        </w:rPr>
        <w:t> </w:t>
      </w:r>
      <w:bookmarkStart w:id="32" w:name="dc_22"/>
      <w:r w:rsidRPr="00995BED">
        <w:rPr>
          <w:rFonts w:ascii="Arial" w:eastAsia="Times New Roman" w:hAnsi="Arial" w:cs="Arial"/>
          <w:color w:val="000000"/>
          <w:sz w:val="18"/>
          <w:szCs w:val="18"/>
          <w:lang w:val="vi-VN"/>
        </w:rPr>
        <w:t>Điều 6; khoản 3 Điều 7 và khoản 2 Điều 11 của Nghị định số 115/2015/NĐ-CP</w:t>
      </w:r>
      <w:bookmarkEnd w:id="32"/>
      <w:r w:rsidRPr="00995BED">
        <w:rPr>
          <w:rFonts w:ascii="Arial" w:eastAsia="Times New Roman" w:hAnsi="Arial" w:cs="Arial"/>
          <w:color w:val="000000"/>
          <w:sz w:val="18"/>
          <w:szCs w:val="18"/>
          <w:lang w:val="vi-VN"/>
        </w:rPr>
        <w:t> </w:t>
      </w:r>
      <w:bookmarkStart w:id="33" w:name="diem_a_2_8_name"/>
      <w:r w:rsidRPr="00995BED">
        <w:rPr>
          <w:rFonts w:ascii="Arial" w:eastAsia="Times New Roman" w:hAnsi="Arial" w:cs="Arial"/>
          <w:color w:val="000000"/>
          <w:sz w:val="18"/>
          <w:szCs w:val="18"/>
          <w:lang w:val="vi-VN"/>
        </w:rPr>
        <w:t>ngày 11 tháng 11 năm 2015 của Chính phủ quy định chi tiết một số điều của Luật Bảo hiểm xã hội về bảo hiểm xã hội bắt buộc.</w:t>
      </w:r>
      <w:bookmarkEnd w:id="33"/>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34" w:name="diem_b_2_8"/>
      <w:r w:rsidRPr="00995BED">
        <w:rPr>
          <w:rFonts w:ascii="Arial" w:eastAsia="Times New Roman" w:hAnsi="Arial" w:cs="Arial"/>
          <w:color w:val="000000"/>
          <w:sz w:val="18"/>
          <w:szCs w:val="18"/>
          <w:lang w:val="vi-VN"/>
        </w:rPr>
        <w:t>b)</w:t>
      </w:r>
      <w:bookmarkEnd w:id="34"/>
      <w:r w:rsidRPr="00995BED">
        <w:rPr>
          <w:rFonts w:ascii="Arial" w:eastAsia="Times New Roman" w:hAnsi="Arial" w:cs="Arial"/>
          <w:color w:val="000000"/>
          <w:sz w:val="18"/>
          <w:szCs w:val="18"/>
          <w:lang w:val="vi-VN"/>
        </w:rPr>
        <w:t> </w:t>
      </w:r>
      <w:bookmarkStart w:id="35" w:name="dc_23"/>
      <w:r w:rsidRPr="00995BED">
        <w:rPr>
          <w:rFonts w:ascii="Arial" w:eastAsia="Times New Roman" w:hAnsi="Arial" w:cs="Arial"/>
          <w:color w:val="000000"/>
          <w:sz w:val="18"/>
          <w:szCs w:val="18"/>
          <w:lang w:val="vi-VN"/>
        </w:rPr>
        <w:t>Điểm a khoản 2 Điều 5 của Nghị định số 134/2015/NĐ-CP</w:t>
      </w:r>
      <w:bookmarkEnd w:id="35"/>
      <w:r w:rsidRPr="00995BED">
        <w:rPr>
          <w:rFonts w:ascii="Arial" w:eastAsia="Times New Roman" w:hAnsi="Arial" w:cs="Arial"/>
          <w:color w:val="000000"/>
          <w:sz w:val="18"/>
          <w:szCs w:val="18"/>
          <w:lang w:val="vi-VN"/>
        </w:rPr>
        <w:t> </w:t>
      </w:r>
      <w:bookmarkStart w:id="36" w:name="diem_b_2_8_name"/>
      <w:r w:rsidRPr="00995BED">
        <w:rPr>
          <w:rFonts w:ascii="Arial" w:eastAsia="Times New Roman" w:hAnsi="Arial" w:cs="Arial"/>
          <w:color w:val="000000"/>
          <w:sz w:val="18"/>
          <w:szCs w:val="18"/>
          <w:lang w:val="vi-VN"/>
        </w:rPr>
        <w:t>ngày 29 tháng 12 năm 2015 của Chính phủ quy định chi tiết một số điều của Luật Bảo hiểm xã hội về bảo hiểm xã hội tự nguyện.</w:t>
      </w:r>
      <w:bookmarkEnd w:id="36"/>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37" w:name="diem_c_2_8"/>
      <w:r w:rsidRPr="00995BED">
        <w:rPr>
          <w:rFonts w:ascii="Arial" w:eastAsia="Times New Roman" w:hAnsi="Arial" w:cs="Arial"/>
          <w:color w:val="000000"/>
          <w:sz w:val="18"/>
          <w:szCs w:val="18"/>
          <w:lang w:val="vi-VN"/>
        </w:rPr>
        <w:t>c) Các</w:t>
      </w:r>
      <w:bookmarkEnd w:id="37"/>
      <w:r w:rsidRPr="00995BED">
        <w:rPr>
          <w:rFonts w:ascii="Arial" w:eastAsia="Times New Roman" w:hAnsi="Arial" w:cs="Arial"/>
          <w:color w:val="000000"/>
          <w:sz w:val="18"/>
          <w:szCs w:val="18"/>
          <w:lang w:val="vi-VN"/>
        </w:rPr>
        <w:t> </w:t>
      </w:r>
      <w:bookmarkStart w:id="38" w:name="dc_24"/>
      <w:r w:rsidRPr="00995BED">
        <w:rPr>
          <w:rFonts w:ascii="Arial" w:eastAsia="Times New Roman" w:hAnsi="Arial" w:cs="Arial"/>
          <w:color w:val="000000"/>
          <w:sz w:val="18"/>
          <w:szCs w:val="18"/>
          <w:lang w:val="vi-VN"/>
        </w:rPr>
        <w:t>điểm a, b khoản 1 Điều 8; khoản 3 Điều 9 và khoản 2 Điều 12 của Nghị định số 33/2016/NĐ-CP</w:t>
      </w:r>
      <w:bookmarkEnd w:id="38"/>
      <w:r w:rsidRPr="00995BED">
        <w:rPr>
          <w:rFonts w:ascii="Arial" w:eastAsia="Times New Roman" w:hAnsi="Arial" w:cs="Arial"/>
          <w:color w:val="000000"/>
          <w:sz w:val="18"/>
          <w:szCs w:val="18"/>
          <w:lang w:val="vi-VN"/>
        </w:rPr>
        <w:t> </w:t>
      </w:r>
      <w:bookmarkStart w:id="39" w:name="diem_c_2_8_name"/>
      <w:r w:rsidRPr="00995BED">
        <w:rPr>
          <w:rFonts w:ascii="Arial" w:eastAsia="Times New Roman" w:hAnsi="Arial" w:cs="Arial"/>
          <w:color w:val="000000"/>
          <w:sz w:val="18"/>
          <w:szCs w:val="18"/>
          <w:lang w:val="vi-VN"/>
        </w:rPr>
        <w:t>ngày 10 tháng 5 năm 2016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w:t>
      </w:r>
      <w:bookmarkEnd w:id="39"/>
    </w:p>
    <w:p w:rsidR="00995BED" w:rsidRPr="00995BED" w:rsidRDefault="00995BED" w:rsidP="00995BED">
      <w:pPr>
        <w:shd w:val="clear" w:color="auto" w:fill="FFFFFF"/>
        <w:spacing w:after="0" w:line="234" w:lineRule="atLeast"/>
        <w:rPr>
          <w:rFonts w:ascii="Arial" w:eastAsia="Times New Roman" w:hAnsi="Arial" w:cs="Arial"/>
          <w:color w:val="000000"/>
          <w:sz w:val="18"/>
          <w:szCs w:val="18"/>
        </w:rPr>
      </w:pPr>
      <w:bookmarkStart w:id="40" w:name="dieu_9"/>
      <w:r w:rsidRPr="00995BED">
        <w:rPr>
          <w:rFonts w:ascii="Arial" w:eastAsia="Times New Roman" w:hAnsi="Arial" w:cs="Arial"/>
          <w:b/>
          <w:bCs/>
          <w:color w:val="000000"/>
          <w:sz w:val="18"/>
          <w:szCs w:val="18"/>
          <w:lang w:val="vi-VN"/>
        </w:rPr>
        <w:t>Điều 9. Trách nhiệm hướng dẫn thi hành</w:t>
      </w:r>
      <w:bookmarkEnd w:id="40"/>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Các Bộ trưởng, Thủ trưởng cơ quan ngang bộ, Thủ trưởng cơ quan thuộc Chính phủ, Chủ tịch Ủy ban nhân dân tỉnh, thành phố trực thuộc trung ương chịu trách nhiệm thi hành Nghị định này./</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995BED" w:rsidRPr="00995BED" w:rsidTr="00995BED">
        <w:trPr>
          <w:tblCellSpacing w:w="0" w:type="dxa"/>
        </w:trPr>
        <w:tc>
          <w:tcPr>
            <w:tcW w:w="4708" w:type="dxa"/>
            <w:tcMar>
              <w:top w:w="0" w:type="dxa"/>
              <w:left w:w="108" w:type="dxa"/>
              <w:bottom w:w="0" w:type="dxa"/>
              <w:right w:w="108" w:type="dxa"/>
            </w:tcMar>
            <w:hideMark/>
          </w:tcPr>
          <w:p w:rsidR="00995BED" w:rsidRPr="00995BED" w:rsidRDefault="00995BED" w:rsidP="00995BED">
            <w:pPr>
              <w:spacing w:before="120" w:after="120" w:line="234" w:lineRule="atLeast"/>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br/>
            </w:r>
            <w:r w:rsidRPr="00995BED">
              <w:rPr>
                <w:rFonts w:ascii="Times New Roman" w:eastAsia="Times New Roman" w:hAnsi="Times New Roman" w:cs="Times New Roman"/>
                <w:b/>
                <w:bCs/>
                <w:i/>
                <w:iCs/>
                <w:sz w:val="24"/>
                <w:szCs w:val="24"/>
              </w:rPr>
              <w:t>Nơi nhận:</w:t>
            </w:r>
            <w:r w:rsidRPr="00995BED">
              <w:rPr>
                <w:rFonts w:ascii="Times New Roman" w:eastAsia="Times New Roman" w:hAnsi="Times New Roman" w:cs="Times New Roman"/>
                <w:b/>
                <w:bCs/>
                <w:i/>
                <w:iCs/>
                <w:sz w:val="24"/>
                <w:szCs w:val="24"/>
              </w:rPr>
              <w:br/>
            </w:r>
            <w:r w:rsidRPr="00995BED">
              <w:rPr>
                <w:rFonts w:ascii="Times New Roman" w:eastAsia="Times New Roman" w:hAnsi="Times New Roman" w:cs="Times New Roman"/>
                <w:sz w:val="16"/>
                <w:szCs w:val="16"/>
              </w:rPr>
              <w:t>- Ban Bí thư Trung ương Đảng;</w:t>
            </w:r>
            <w:r w:rsidRPr="00995BED">
              <w:rPr>
                <w:rFonts w:ascii="Times New Roman" w:eastAsia="Times New Roman" w:hAnsi="Times New Roman" w:cs="Times New Roman"/>
                <w:sz w:val="16"/>
                <w:szCs w:val="16"/>
              </w:rPr>
              <w:br/>
              <w:t>- Thủ tướng, các Phó Thủ tướng Chính phủ;</w:t>
            </w:r>
            <w:r w:rsidRPr="00995BED">
              <w:rPr>
                <w:rFonts w:ascii="Times New Roman" w:eastAsia="Times New Roman" w:hAnsi="Times New Roman" w:cs="Times New Roman"/>
                <w:sz w:val="16"/>
                <w:szCs w:val="16"/>
              </w:rPr>
              <w:br/>
              <w:t>- Các bộ, cơ quan ngang bộ, cơ quan thuộc Chính phủ;</w:t>
            </w:r>
            <w:r w:rsidRPr="00995BED">
              <w:rPr>
                <w:rFonts w:ascii="Times New Roman" w:eastAsia="Times New Roman" w:hAnsi="Times New Roman" w:cs="Times New Roman"/>
                <w:sz w:val="16"/>
                <w:szCs w:val="16"/>
              </w:rPr>
              <w:br/>
              <w:t>- HĐND, UBND các tỉnh, thành phố trực thuộc trung ương;</w:t>
            </w:r>
            <w:r w:rsidRPr="00995BED">
              <w:rPr>
                <w:rFonts w:ascii="Times New Roman" w:eastAsia="Times New Roman" w:hAnsi="Times New Roman" w:cs="Times New Roman"/>
                <w:sz w:val="16"/>
                <w:szCs w:val="16"/>
              </w:rPr>
              <w:br/>
              <w:t>- Văn phòng Trung ương và các Ban của Đảng;</w:t>
            </w:r>
            <w:r w:rsidRPr="00995BED">
              <w:rPr>
                <w:rFonts w:ascii="Times New Roman" w:eastAsia="Times New Roman" w:hAnsi="Times New Roman" w:cs="Times New Roman"/>
                <w:sz w:val="16"/>
                <w:szCs w:val="16"/>
              </w:rPr>
              <w:br/>
            </w:r>
            <w:r w:rsidRPr="00995BED">
              <w:rPr>
                <w:rFonts w:ascii="Times New Roman" w:eastAsia="Times New Roman" w:hAnsi="Times New Roman" w:cs="Times New Roman"/>
                <w:sz w:val="16"/>
                <w:szCs w:val="16"/>
              </w:rPr>
              <w:lastRenderedPageBreak/>
              <w:t>- Văn phòng Tổng Bí thư;</w:t>
            </w:r>
            <w:r w:rsidRPr="00995BED">
              <w:rPr>
                <w:rFonts w:ascii="Times New Roman" w:eastAsia="Times New Roman" w:hAnsi="Times New Roman" w:cs="Times New Roman"/>
                <w:sz w:val="16"/>
                <w:szCs w:val="16"/>
              </w:rPr>
              <w:br/>
              <w:t>- Văn phòng Chủ tịch nước;</w:t>
            </w:r>
            <w:r w:rsidRPr="00995BED">
              <w:rPr>
                <w:rFonts w:ascii="Times New Roman" w:eastAsia="Times New Roman" w:hAnsi="Times New Roman" w:cs="Times New Roman"/>
                <w:sz w:val="16"/>
                <w:szCs w:val="16"/>
              </w:rPr>
              <w:br/>
              <w:t>- Hội đồng Dân tộc và các Ủy ban của Quốc hội;</w:t>
            </w:r>
            <w:r w:rsidRPr="00995BED">
              <w:rPr>
                <w:rFonts w:ascii="Times New Roman" w:eastAsia="Times New Roman" w:hAnsi="Times New Roman" w:cs="Times New Roman"/>
                <w:sz w:val="16"/>
                <w:szCs w:val="16"/>
              </w:rPr>
              <w:br/>
              <w:t>- Văn phòng Quốc hội;</w:t>
            </w:r>
            <w:r w:rsidRPr="00995BED">
              <w:rPr>
                <w:rFonts w:ascii="Times New Roman" w:eastAsia="Times New Roman" w:hAnsi="Times New Roman" w:cs="Times New Roman"/>
                <w:sz w:val="16"/>
                <w:szCs w:val="16"/>
              </w:rPr>
              <w:br/>
              <w:t>- Tòa án nhân dân tối cao;</w:t>
            </w:r>
            <w:r w:rsidRPr="00995BED">
              <w:rPr>
                <w:rFonts w:ascii="Times New Roman" w:eastAsia="Times New Roman" w:hAnsi="Times New Roman" w:cs="Times New Roman"/>
                <w:sz w:val="16"/>
                <w:szCs w:val="16"/>
              </w:rPr>
              <w:br/>
              <w:t>- Viện kiểm sát nhân dân tối cao;</w:t>
            </w:r>
            <w:r w:rsidRPr="00995BED">
              <w:rPr>
                <w:rFonts w:ascii="Times New Roman" w:eastAsia="Times New Roman" w:hAnsi="Times New Roman" w:cs="Times New Roman"/>
                <w:sz w:val="16"/>
                <w:szCs w:val="16"/>
              </w:rPr>
              <w:br/>
              <w:t>- Kiểm toán Nhà nước;</w:t>
            </w:r>
            <w:r w:rsidRPr="00995BED">
              <w:rPr>
                <w:rFonts w:ascii="Times New Roman" w:eastAsia="Times New Roman" w:hAnsi="Times New Roman" w:cs="Times New Roman"/>
                <w:sz w:val="16"/>
                <w:szCs w:val="16"/>
              </w:rPr>
              <w:br/>
              <w:t>- Ủy ban Giám sát tài chính Quốc gia;</w:t>
            </w:r>
            <w:r w:rsidRPr="00995BED">
              <w:rPr>
                <w:rFonts w:ascii="Times New Roman" w:eastAsia="Times New Roman" w:hAnsi="Times New Roman" w:cs="Times New Roman"/>
                <w:sz w:val="16"/>
                <w:szCs w:val="16"/>
              </w:rPr>
              <w:br/>
              <w:t>- Ngân hàng Chính sách xã hội;</w:t>
            </w:r>
            <w:r w:rsidRPr="00995BED">
              <w:rPr>
                <w:rFonts w:ascii="Times New Roman" w:eastAsia="Times New Roman" w:hAnsi="Times New Roman" w:cs="Times New Roman"/>
                <w:sz w:val="16"/>
                <w:szCs w:val="16"/>
              </w:rPr>
              <w:br/>
              <w:t>- Ngân hàng Phát triển Việt Nam;</w:t>
            </w:r>
            <w:r w:rsidRPr="00995BED">
              <w:rPr>
                <w:rFonts w:ascii="Times New Roman" w:eastAsia="Times New Roman" w:hAnsi="Times New Roman" w:cs="Times New Roman"/>
                <w:sz w:val="16"/>
                <w:szCs w:val="16"/>
              </w:rPr>
              <w:br/>
              <w:t>- Ủy ban Trung ương Mặt trận Tổ quốc Việt Nam;</w:t>
            </w:r>
            <w:r w:rsidRPr="00995BED">
              <w:rPr>
                <w:rFonts w:ascii="Times New Roman" w:eastAsia="Times New Roman" w:hAnsi="Times New Roman" w:cs="Times New Roman"/>
                <w:sz w:val="16"/>
                <w:szCs w:val="16"/>
              </w:rPr>
              <w:br/>
              <w:t>- Cơ quan trung ương của các đoàn thể;</w:t>
            </w:r>
            <w:r w:rsidRPr="00995BED">
              <w:rPr>
                <w:rFonts w:ascii="Times New Roman" w:eastAsia="Times New Roman" w:hAnsi="Times New Roman" w:cs="Times New Roman"/>
                <w:sz w:val="16"/>
                <w:szCs w:val="16"/>
              </w:rPr>
              <w:br/>
              <w:t>- VPCP: BTCN, các PCN, Trợ lý TTg, TGĐ Cổng TTĐT, các Vụ, Cục, đơn vị trực thuộc, Công báo;</w:t>
            </w:r>
            <w:r w:rsidRPr="00995BED">
              <w:rPr>
                <w:rFonts w:ascii="Times New Roman" w:eastAsia="Times New Roman" w:hAnsi="Times New Roman" w:cs="Times New Roman"/>
                <w:sz w:val="16"/>
                <w:szCs w:val="16"/>
              </w:rPr>
              <w:br/>
              <w:t>- Lưu: VT, KGVX (2b).</w:t>
            </w:r>
          </w:p>
        </w:tc>
        <w:tc>
          <w:tcPr>
            <w:tcW w:w="4148" w:type="dxa"/>
            <w:tcMar>
              <w:top w:w="0" w:type="dxa"/>
              <w:left w:w="108" w:type="dxa"/>
              <w:bottom w:w="0" w:type="dxa"/>
              <w:right w:w="108" w:type="dxa"/>
            </w:tcMa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lastRenderedPageBreak/>
              <w:t>TM. CHÍNH PHỦ</w:t>
            </w:r>
            <w:r w:rsidRPr="00995BED">
              <w:rPr>
                <w:rFonts w:ascii="Times New Roman" w:eastAsia="Times New Roman" w:hAnsi="Times New Roman" w:cs="Times New Roman"/>
                <w:b/>
                <w:bCs/>
                <w:sz w:val="24"/>
                <w:szCs w:val="24"/>
              </w:rPr>
              <w:br/>
              <w:t>THỦ TƯỚNG</w:t>
            </w:r>
            <w:r w:rsidRPr="00995BED">
              <w:rPr>
                <w:rFonts w:ascii="Times New Roman" w:eastAsia="Times New Roman" w:hAnsi="Times New Roman" w:cs="Times New Roman"/>
                <w:b/>
                <w:bCs/>
                <w:sz w:val="24"/>
                <w:szCs w:val="24"/>
              </w:rPr>
              <w:br/>
            </w:r>
            <w:r w:rsidRPr="00995BED">
              <w:rPr>
                <w:rFonts w:ascii="Times New Roman" w:eastAsia="Times New Roman" w:hAnsi="Times New Roman" w:cs="Times New Roman"/>
                <w:b/>
                <w:bCs/>
                <w:sz w:val="24"/>
                <w:szCs w:val="24"/>
              </w:rPr>
              <w:br/>
            </w:r>
            <w:r w:rsidRPr="00995BED">
              <w:rPr>
                <w:rFonts w:ascii="Times New Roman" w:eastAsia="Times New Roman" w:hAnsi="Times New Roman" w:cs="Times New Roman"/>
                <w:b/>
                <w:bCs/>
                <w:sz w:val="24"/>
                <w:szCs w:val="24"/>
              </w:rPr>
              <w:br/>
            </w:r>
            <w:r w:rsidRPr="00995BED">
              <w:rPr>
                <w:rFonts w:ascii="Times New Roman" w:eastAsia="Times New Roman" w:hAnsi="Times New Roman" w:cs="Times New Roman"/>
                <w:b/>
                <w:bCs/>
                <w:sz w:val="24"/>
                <w:szCs w:val="24"/>
              </w:rPr>
              <w:br/>
            </w:r>
            <w:r w:rsidRPr="00995BED">
              <w:rPr>
                <w:rFonts w:ascii="Times New Roman" w:eastAsia="Times New Roman" w:hAnsi="Times New Roman" w:cs="Times New Roman"/>
                <w:b/>
                <w:bCs/>
                <w:sz w:val="24"/>
                <w:szCs w:val="24"/>
              </w:rPr>
              <w:lastRenderedPageBreak/>
              <w:br/>
              <w:t>Nguyễn Xuân Phúc</w:t>
            </w:r>
          </w:p>
        </w:tc>
      </w:tr>
    </w:tbl>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lastRenderedPageBreak/>
        <w:t> </w:t>
      </w:r>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41" w:name="chuong_pl_1"/>
      <w:r w:rsidRPr="00995BED">
        <w:rPr>
          <w:rFonts w:ascii="Arial" w:eastAsia="Times New Roman" w:hAnsi="Arial" w:cs="Arial"/>
          <w:b/>
          <w:bCs/>
          <w:color w:val="000000"/>
          <w:sz w:val="24"/>
          <w:szCs w:val="24"/>
          <w:lang w:val="vi-VN"/>
        </w:rPr>
        <w:t>PHỤ LỤC I</w:t>
      </w:r>
      <w:bookmarkEnd w:id="41"/>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42" w:name="chuong_pl_1_name"/>
      <w:r w:rsidRPr="00995BED">
        <w:rPr>
          <w:rFonts w:ascii="Arial" w:eastAsia="Times New Roman" w:hAnsi="Arial" w:cs="Arial"/>
          <w:color w:val="000000"/>
          <w:sz w:val="18"/>
          <w:szCs w:val="18"/>
          <w:lang w:val="vi-VN"/>
        </w:rPr>
        <w:t>LỘ TRÌNH TUỔI NGHỈ HƯU TRONG ĐIỀU KIỆN LAO ĐỘNG BÌNH THƯỜNG GẮN VỚI THÁNG, NĂM SINH TƯƠNG ỨNG</w:t>
      </w:r>
      <w:bookmarkEnd w:id="42"/>
      <w:r w:rsidRPr="00995BED">
        <w:rPr>
          <w:rFonts w:ascii="Arial" w:eastAsia="Times New Roman" w:hAnsi="Arial" w:cs="Arial"/>
          <w:color w:val="000000"/>
          <w:sz w:val="18"/>
          <w:szCs w:val="18"/>
          <w:lang w:val="vi-VN"/>
        </w:rPr>
        <w:br/>
      </w:r>
      <w:r w:rsidRPr="00995BED">
        <w:rPr>
          <w:rFonts w:ascii="Arial" w:eastAsia="Times New Roman" w:hAnsi="Arial" w:cs="Arial"/>
          <w:i/>
          <w:iCs/>
          <w:color w:val="000000"/>
          <w:sz w:val="18"/>
          <w:szCs w:val="18"/>
          <w:lang w:val="vi-VN"/>
        </w:rPr>
        <w:t>(Ban hành kèm theo Nghị định số 135/2020/NĐ-CP ngày 18 tháng 11 năm 2020 của Chính phủ)</w:t>
      </w:r>
    </w:p>
    <w:tbl>
      <w:tblPr>
        <w:tblW w:w="4950" w:type="pct"/>
        <w:tblCellSpacing w:w="0" w:type="dxa"/>
        <w:tblCellMar>
          <w:left w:w="0" w:type="dxa"/>
          <w:right w:w="0" w:type="dxa"/>
        </w:tblCellMar>
        <w:tblLook w:val="04A0" w:firstRow="1" w:lastRow="0" w:firstColumn="1" w:lastColumn="0" w:noHBand="0" w:noVBand="1"/>
      </w:tblPr>
      <w:tblGrid>
        <w:gridCol w:w="840"/>
        <w:gridCol w:w="933"/>
        <w:gridCol w:w="841"/>
        <w:gridCol w:w="934"/>
        <w:gridCol w:w="1121"/>
        <w:gridCol w:w="934"/>
        <w:gridCol w:w="934"/>
        <w:gridCol w:w="841"/>
        <w:gridCol w:w="1028"/>
        <w:gridCol w:w="841"/>
      </w:tblGrid>
      <w:tr w:rsidR="00995BED" w:rsidRPr="00995BED" w:rsidTr="00995BED">
        <w:trPr>
          <w:tblCellSpacing w:w="0" w:type="dxa"/>
        </w:trPr>
        <w:tc>
          <w:tcPr>
            <w:tcW w:w="2500" w:type="pct"/>
            <w:gridSpan w:val="5"/>
            <w:tcBorders>
              <w:top w:val="single" w:sz="8" w:space="0" w:color="auto"/>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Lao động nam</w:t>
            </w:r>
          </w:p>
        </w:tc>
        <w:tc>
          <w:tcPr>
            <w:tcW w:w="2450" w:type="pct"/>
            <w:gridSpan w:val="5"/>
            <w:tcBorders>
              <w:top w:val="single" w:sz="8" w:space="0" w:color="auto"/>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Lao động nữ</w:t>
            </w:r>
          </w:p>
        </w:tc>
      </w:tr>
      <w:tr w:rsidR="00995BED" w:rsidRPr="00995BED" w:rsidTr="00995BED">
        <w:trPr>
          <w:tblCellSpacing w:w="0" w:type="dxa"/>
        </w:trPr>
        <w:tc>
          <w:tcPr>
            <w:tcW w:w="950" w:type="pct"/>
            <w:gridSpan w:val="2"/>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sinh</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w:t>
            </w:r>
          </w:p>
        </w:tc>
        <w:tc>
          <w:tcPr>
            <w:tcW w:w="105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hưởng lương hưu</w:t>
            </w:r>
          </w:p>
        </w:tc>
        <w:tc>
          <w:tcPr>
            <w:tcW w:w="100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sinh</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w:t>
            </w:r>
          </w:p>
        </w:tc>
        <w:tc>
          <w:tcPr>
            <w:tcW w:w="100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hưởng lương hưu</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Năm</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Năm</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Năm</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Năm</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 3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 6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 9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 3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 6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61 tuổi 9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950" w:type="pct"/>
            <w:gridSpan w:val="2"/>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tháng 4/1966 trở đi</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62 tuổi</w:t>
            </w:r>
          </w:p>
        </w:tc>
        <w:tc>
          <w:tcPr>
            <w:tcW w:w="105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 liền kề sau tháng người lao động đủ 62 tuổi</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2500" w:type="pct"/>
            <w:gridSpan w:val="5"/>
            <w:vMerge w:val="restart"/>
            <w:tcBorders>
              <w:top w:val="nil"/>
              <w:left w:val="nil"/>
              <w:bottom w:val="nil"/>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58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58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58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59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59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4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59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2035</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100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tháng 5/1975 trở đi</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60 tuổi</w:t>
            </w:r>
          </w:p>
        </w:tc>
        <w:tc>
          <w:tcPr>
            <w:tcW w:w="100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 liền kề sau tháng người lao động đủ 60 tuổi</w:t>
            </w:r>
          </w:p>
        </w:tc>
      </w:tr>
    </w:tbl>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 </w:t>
      </w:r>
      <w:bookmarkStart w:id="43" w:name="_GoBack"/>
      <w:bookmarkEnd w:id="43"/>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44" w:name="chuong_pl_2"/>
      <w:r w:rsidRPr="00995BED">
        <w:rPr>
          <w:rFonts w:ascii="Arial" w:eastAsia="Times New Roman" w:hAnsi="Arial" w:cs="Arial"/>
          <w:b/>
          <w:bCs/>
          <w:color w:val="000000"/>
          <w:sz w:val="24"/>
          <w:szCs w:val="24"/>
          <w:lang w:val="vi-VN"/>
        </w:rPr>
        <w:t>PHỤ LỤC II</w:t>
      </w:r>
      <w:bookmarkEnd w:id="44"/>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45" w:name="chuong_pl_2_name"/>
      <w:r w:rsidRPr="00995BED">
        <w:rPr>
          <w:rFonts w:ascii="Arial" w:eastAsia="Times New Roman" w:hAnsi="Arial" w:cs="Arial"/>
          <w:color w:val="000000"/>
          <w:sz w:val="18"/>
          <w:szCs w:val="18"/>
          <w:lang w:val="vi-VN"/>
        </w:rPr>
        <w:t>TUỔI NGHỈ HƯU THẤP NHẤT GẮN VỚI THÁNG, NĂM SINH TƯƠNG ỨNG</w:t>
      </w:r>
      <w:bookmarkEnd w:id="45"/>
      <w:r w:rsidRPr="00995BED">
        <w:rPr>
          <w:rFonts w:ascii="Arial" w:eastAsia="Times New Roman" w:hAnsi="Arial" w:cs="Arial"/>
          <w:b/>
          <w:bCs/>
          <w:color w:val="000000"/>
          <w:sz w:val="18"/>
          <w:szCs w:val="18"/>
          <w:lang w:val="vi-VN"/>
        </w:rPr>
        <w:br/>
      </w:r>
      <w:r w:rsidRPr="00995BED">
        <w:rPr>
          <w:rFonts w:ascii="Arial" w:eastAsia="Times New Roman" w:hAnsi="Arial" w:cs="Arial"/>
          <w:i/>
          <w:iCs/>
          <w:color w:val="000000"/>
          <w:sz w:val="18"/>
          <w:szCs w:val="18"/>
          <w:lang w:val="vi-VN"/>
        </w:rPr>
        <w:t>(Ban hành kèm theo Nghị định số 135/2020/NĐ-CP ngày 18 tháng 11 năm 2020 của Chính phủ)</w:t>
      </w:r>
    </w:p>
    <w:tbl>
      <w:tblPr>
        <w:tblW w:w="5000" w:type="pct"/>
        <w:tblCellSpacing w:w="0" w:type="dxa"/>
        <w:tblCellMar>
          <w:left w:w="0" w:type="dxa"/>
          <w:right w:w="0" w:type="dxa"/>
        </w:tblCellMar>
        <w:tblLook w:val="04A0" w:firstRow="1" w:lastRow="0" w:firstColumn="1" w:lastColumn="0" w:noHBand="0" w:noVBand="1"/>
      </w:tblPr>
      <w:tblGrid>
        <w:gridCol w:w="849"/>
        <w:gridCol w:w="754"/>
        <w:gridCol w:w="1038"/>
        <w:gridCol w:w="942"/>
        <w:gridCol w:w="1038"/>
        <w:gridCol w:w="849"/>
        <w:gridCol w:w="754"/>
        <w:gridCol w:w="1227"/>
        <w:gridCol w:w="1039"/>
        <w:gridCol w:w="850"/>
      </w:tblGrid>
      <w:tr w:rsidR="00995BED" w:rsidRPr="00995BED" w:rsidTr="00995BED">
        <w:trPr>
          <w:tblCellSpacing w:w="0" w:type="dxa"/>
        </w:trPr>
        <w:tc>
          <w:tcPr>
            <w:tcW w:w="2450" w:type="pct"/>
            <w:gridSpan w:val="5"/>
            <w:tcBorders>
              <w:top w:val="single" w:sz="8" w:space="0" w:color="auto"/>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Lao động nam</w:t>
            </w:r>
          </w:p>
        </w:tc>
        <w:tc>
          <w:tcPr>
            <w:tcW w:w="2500" w:type="pct"/>
            <w:gridSpan w:val="5"/>
            <w:tcBorders>
              <w:top w:val="single" w:sz="8" w:space="0" w:color="auto"/>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Lao động nữ</w:t>
            </w:r>
          </w:p>
        </w:tc>
      </w:tr>
      <w:tr w:rsidR="00995BED" w:rsidRPr="00995BED" w:rsidTr="00995BED">
        <w:trPr>
          <w:tblCellSpacing w:w="0" w:type="dxa"/>
        </w:trPr>
        <w:tc>
          <w:tcPr>
            <w:tcW w:w="850" w:type="pct"/>
            <w:gridSpan w:val="2"/>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sinh</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w:t>
            </w:r>
          </w:p>
        </w:tc>
        <w:tc>
          <w:tcPr>
            <w:tcW w:w="100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hưởng lương hưu</w:t>
            </w:r>
          </w:p>
        </w:tc>
        <w:tc>
          <w:tcPr>
            <w:tcW w:w="85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sinh</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Tuổi nghỉ hưu</w:t>
            </w:r>
          </w:p>
        </w:tc>
        <w:tc>
          <w:tcPr>
            <w:tcW w:w="95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Thời điểm hưởng lương hưu</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Tháng</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Tháng</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Tháng</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Tháng</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Năm</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3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50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50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6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51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 9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1972</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51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2023</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51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2024</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1973</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3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52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6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1969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1974</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52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5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56 tuổi 9 tháng</w:t>
            </w: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52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lastRenderedPageBreak/>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1975</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2027</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450" w:type="pct"/>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1971</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2028</w:t>
            </w:r>
          </w:p>
        </w:tc>
      </w:tr>
      <w:tr w:rsidR="00995BED" w:rsidRPr="00995BED" w:rsidTr="00995BED">
        <w:trPr>
          <w:tblCellSpacing w:w="0" w:type="dxa"/>
        </w:trPr>
        <w:tc>
          <w:tcPr>
            <w:tcW w:w="850" w:type="pct"/>
            <w:gridSpan w:val="2"/>
            <w:tcBorders>
              <w:top w:val="nil"/>
              <w:left w:val="single" w:sz="8" w:space="0" w:color="auto"/>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tháng 4/1971 trở đi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57 tuổi</w:t>
            </w:r>
          </w:p>
        </w:tc>
        <w:tc>
          <w:tcPr>
            <w:tcW w:w="100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 liền kề sau tháng người lao động đủ 57 tuổi</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2450" w:type="pct"/>
            <w:gridSpan w:val="5"/>
            <w:vMerge w:val="restart"/>
            <w:tcBorders>
              <w:top w:val="nil"/>
              <w:left w:val="nil"/>
              <w:bottom w:val="nil"/>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 </w:t>
            </w: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53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2029</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1976</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53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2030</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53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1977</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2031</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54 tuổi</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2032</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1978</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54 tuổi 4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2033</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650" w:type="pct"/>
            <w:vMerge w:val="restar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54 tuổi 8 tháng</w:t>
            </w: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6</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7</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8</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1979</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9</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1980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10</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1980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3</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1980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12</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2034</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4</w:t>
            </w:r>
          </w:p>
        </w:tc>
        <w:tc>
          <w:tcPr>
            <w:tcW w:w="3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1980</w:t>
            </w:r>
          </w:p>
        </w:tc>
        <w:tc>
          <w:tcPr>
            <w:tcW w:w="0" w:type="auto"/>
            <w:vMerge/>
            <w:tcBorders>
              <w:top w:val="nil"/>
              <w:left w:val="nil"/>
              <w:bottom w:val="single" w:sz="8" w:space="0" w:color="auto"/>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b/>
                <w:bCs/>
                <w:sz w:val="24"/>
                <w:szCs w:val="24"/>
              </w:rPr>
              <w:t>1</w:t>
            </w:r>
          </w:p>
        </w:tc>
        <w:tc>
          <w:tcPr>
            <w:tcW w:w="40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2035</w:t>
            </w:r>
          </w:p>
        </w:tc>
      </w:tr>
      <w:tr w:rsidR="00995BED" w:rsidRPr="00995BED" w:rsidTr="00995BED">
        <w:trPr>
          <w:tblCellSpacing w:w="0" w:type="dxa"/>
        </w:trPr>
        <w:tc>
          <w:tcPr>
            <w:tcW w:w="0" w:type="auto"/>
            <w:gridSpan w:val="5"/>
            <w:vMerge/>
            <w:tcBorders>
              <w:top w:val="nil"/>
              <w:left w:val="nil"/>
              <w:bottom w:val="nil"/>
              <w:right w:val="single" w:sz="8" w:space="0" w:color="auto"/>
            </w:tcBorders>
            <w:vAlign w:val="center"/>
            <w:hideMark/>
          </w:tcPr>
          <w:p w:rsidR="00995BED" w:rsidRPr="00995BED" w:rsidRDefault="00995BED" w:rsidP="00995BED">
            <w:pPr>
              <w:spacing w:after="0" w:line="240" w:lineRule="auto"/>
              <w:rPr>
                <w:rFonts w:ascii="Times New Roman" w:eastAsia="Times New Roman" w:hAnsi="Times New Roman" w:cs="Times New Roman"/>
                <w:sz w:val="24"/>
                <w:szCs w:val="24"/>
              </w:rPr>
            </w:pPr>
          </w:p>
        </w:tc>
        <w:tc>
          <w:tcPr>
            <w:tcW w:w="85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Từ tháng 5/1980 trở đi</w:t>
            </w:r>
          </w:p>
        </w:tc>
        <w:tc>
          <w:tcPr>
            <w:tcW w:w="650" w:type="pct"/>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55 tuổi</w:t>
            </w:r>
          </w:p>
        </w:tc>
        <w:tc>
          <w:tcPr>
            <w:tcW w:w="950" w:type="pct"/>
            <w:gridSpan w:val="2"/>
            <w:tcBorders>
              <w:top w:val="nil"/>
              <w:left w:val="nil"/>
              <w:bottom w:val="single" w:sz="8" w:space="0" w:color="auto"/>
              <w:right w:val="single" w:sz="8" w:space="0" w:color="auto"/>
            </w:tcBorders>
            <w:vAlign w:val="center"/>
            <w:hideMark/>
          </w:tcPr>
          <w:p w:rsidR="00995BED" w:rsidRPr="00995BED" w:rsidRDefault="00995BED" w:rsidP="00995BED">
            <w:pPr>
              <w:spacing w:before="120" w:after="120" w:line="234" w:lineRule="atLeast"/>
              <w:jc w:val="center"/>
              <w:rPr>
                <w:rFonts w:ascii="Times New Roman" w:eastAsia="Times New Roman" w:hAnsi="Times New Roman" w:cs="Times New Roman"/>
                <w:sz w:val="24"/>
                <w:szCs w:val="24"/>
              </w:rPr>
            </w:pPr>
            <w:r w:rsidRPr="00995BED">
              <w:rPr>
                <w:rFonts w:ascii="Times New Roman" w:eastAsia="Times New Roman" w:hAnsi="Times New Roman" w:cs="Times New Roman"/>
                <w:sz w:val="24"/>
                <w:szCs w:val="24"/>
              </w:rPr>
              <w:t>Tháng liền kề sau tháng người lao động đủ 55 tuổi</w:t>
            </w:r>
          </w:p>
        </w:tc>
      </w:tr>
    </w:tbl>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 </w:t>
      </w:r>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46" w:name="chuong_pl_3"/>
      <w:r w:rsidRPr="00995BED">
        <w:rPr>
          <w:rFonts w:ascii="Arial" w:eastAsia="Times New Roman" w:hAnsi="Arial" w:cs="Arial"/>
          <w:b/>
          <w:bCs/>
          <w:color w:val="000000"/>
          <w:sz w:val="24"/>
          <w:szCs w:val="24"/>
          <w:lang w:val="vi-VN"/>
        </w:rPr>
        <w:t>PHỤ LỤC III</w:t>
      </w:r>
      <w:bookmarkEnd w:id="46"/>
    </w:p>
    <w:p w:rsidR="00995BED" w:rsidRPr="00995BED" w:rsidRDefault="00995BED" w:rsidP="00995BED">
      <w:pPr>
        <w:shd w:val="clear" w:color="auto" w:fill="FFFFFF"/>
        <w:spacing w:after="0" w:line="234" w:lineRule="atLeast"/>
        <w:jc w:val="center"/>
        <w:rPr>
          <w:rFonts w:ascii="Arial" w:eastAsia="Times New Roman" w:hAnsi="Arial" w:cs="Arial"/>
          <w:color w:val="000000"/>
          <w:sz w:val="18"/>
          <w:szCs w:val="18"/>
        </w:rPr>
      </w:pPr>
      <w:bookmarkStart w:id="47" w:name="chuong_pl_3_name"/>
      <w:r w:rsidRPr="00995BED">
        <w:rPr>
          <w:rFonts w:ascii="Arial" w:eastAsia="Times New Roman" w:hAnsi="Arial" w:cs="Arial"/>
          <w:color w:val="000000"/>
          <w:sz w:val="18"/>
          <w:szCs w:val="18"/>
          <w:lang w:val="vi-VN"/>
        </w:rPr>
        <w:t>CÔNG VIỆC KHAI THÁC THAN TRONG HẦM LÒ</w:t>
      </w:r>
      <w:bookmarkEnd w:id="47"/>
      <w:r w:rsidRPr="00995BED">
        <w:rPr>
          <w:rFonts w:ascii="Arial" w:eastAsia="Times New Roman" w:hAnsi="Arial" w:cs="Arial"/>
          <w:color w:val="000000"/>
          <w:sz w:val="18"/>
          <w:szCs w:val="18"/>
          <w:lang w:val="vi-VN"/>
        </w:rPr>
        <w:br/>
      </w:r>
      <w:r w:rsidRPr="00995BED">
        <w:rPr>
          <w:rFonts w:ascii="Arial" w:eastAsia="Times New Roman" w:hAnsi="Arial" w:cs="Arial"/>
          <w:i/>
          <w:iCs/>
          <w:color w:val="000000"/>
          <w:sz w:val="18"/>
          <w:szCs w:val="18"/>
          <w:lang w:val="vi-VN"/>
        </w:rPr>
        <w:t>(Ban hành kèm theo Nghị định số 135/2020/NĐ-CP ngày 18 tháng 11 năm 2020 của Chính phủ)</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1. Khai thác mỏ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2. Khoan đá bằng búa máy cầm tay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3. Đội viên cứu hộ mỏ.</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4. Sửa chữa cơ điện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5. Vận hành trạm quạt khí nén, điện, diezel, trạm xạc ắc quy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lang w:val="vi-VN"/>
        </w:rPr>
        <w:t>6. Thợ sắt, thợ thoát nước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7. Vận tải than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8. Đo khí, đo gió, trực cửa gió, trắc địa, KCS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9. Công nhân vận hành, sửa chữa các thiết bị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10. Vận hành và phụ tàu điện, tàu ắc quy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11. Vận hành, sửa chữa, nạp ắc quy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12. Nghiệm thu các sản phẩm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13. Thủ kho các loại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14. Bảo vệ kho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15. Quét dọn hầm vệ sinh, nạo vét bùn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16. Vận chuyển vật liệu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17. Trực gác tín hiệu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18. Phục vụ bồi dưỡng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19. Lắp đặt, sửa chữa hệ thống thông tin liên lạc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lastRenderedPageBreak/>
        <w:t>20. Vận hành trạm mạng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21. Trực gác cửa gió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22. Chỉ đạo kỹ thuật trực tiếp trong hầm lò.</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23. Chỉ đạo sản xuất trực tiếp trong hầm lò (quản đốc, phó quản đốc, đội trưởng lò, lò trưởng).</w:t>
      </w:r>
    </w:p>
    <w:p w:rsidR="00995BED" w:rsidRPr="00995BED" w:rsidRDefault="00995BED" w:rsidP="00995BED">
      <w:pPr>
        <w:shd w:val="clear" w:color="auto" w:fill="FFFFFF"/>
        <w:spacing w:before="120" w:after="120" w:line="234" w:lineRule="atLeast"/>
        <w:rPr>
          <w:rFonts w:ascii="Arial" w:eastAsia="Times New Roman" w:hAnsi="Arial" w:cs="Arial"/>
          <w:color w:val="000000"/>
          <w:sz w:val="18"/>
          <w:szCs w:val="18"/>
        </w:rPr>
      </w:pPr>
      <w:r w:rsidRPr="00995BED">
        <w:rPr>
          <w:rFonts w:ascii="Arial" w:eastAsia="Times New Roman" w:hAnsi="Arial" w:cs="Arial"/>
          <w:color w:val="000000"/>
          <w:sz w:val="18"/>
          <w:szCs w:val="18"/>
        </w:rPr>
        <w:t>24. Nhân viên, công nhân giám sát an toàn trong hầm lò.</w:t>
      </w:r>
    </w:p>
    <w:p w:rsidR="00CE7F52" w:rsidRDefault="00CE7F52"/>
    <w:sectPr w:rsidR="00CE7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46AA"/>
    <w:multiLevelType w:val="multilevel"/>
    <w:tmpl w:val="7A44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A7CC3"/>
    <w:multiLevelType w:val="multilevel"/>
    <w:tmpl w:val="2FE2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94BC2"/>
    <w:multiLevelType w:val="multilevel"/>
    <w:tmpl w:val="4926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ED"/>
    <w:rsid w:val="00995BED"/>
    <w:rsid w:val="00CE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32B3D-B239-484A-8D9D-A30E7BD1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95B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5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5BED"/>
    <w:rPr>
      <w:color w:val="0000FF"/>
      <w:u w:val="single"/>
    </w:rPr>
  </w:style>
  <w:style w:type="character" w:styleId="FollowedHyperlink">
    <w:name w:val="FollowedHyperlink"/>
    <w:basedOn w:val="DefaultParagraphFont"/>
    <w:uiPriority w:val="99"/>
    <w:semiHidden/>
    <w:unhideWhenUsed/>
    <w:rsid w:val="00995B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194969">
      <w:bodyDiv w:val="1"/>
      <w:marLeft w:val="0"/>
      <w:marRight w:val="0"/>
      <w:marTop w:val="0"/>
      <w:marBottom w:val="0"/>
      <w:divBdr>
        <w:top w:val="none" w:sz="0" w:space="0" w:color="auto"/>
        <w:left w:val="none" w:sz="0" w:space="0" w:color="auto"/>
        <w:bottom w:val="none" w:sz="0" w:space="0" w:color="auto"/>
        <w:right w:val="none" w:sz="0" w:space="0" w:color="auto"/>
      </w:divBdr>
      <w:divsChild>
        <w:div w:id="1753700738">
          <w:marLeft w:val="0"/>
          <w:marRight w:val="0"/>
          <w:marTop w:val="0"/>
          <w:marBottom w:val="0"/>
          <w:divBdr>
            <w:top w:val="none" w:sz="0" w:space="0" w:color="auto"/>
            <w:left w:val="none" w:sz="0" w:space="0" w:color="auto"/>
            <w:bottom w:val="none" w:sz="0" w:space="0" w:color="auto"/>
            <w:right w:val="none" w:sz="0" w:space="0" w:color="auto"/>
          </w:divBdr>
          <w:divsChild>
            <w:div w:id="1881235782">
              <w:marLeft w:val="0"/>
              <w:marRight w:val="0"/>
              <w:marTop w:val="0"/>
              <w:marBottom w:val="0"/>
              <w:divBdr>
                <w:top w:val="single" w:sz="12" w:space="0" w:color="F89B1A"/>
                <w:left w:val="single" w:sz="6" w:space="0" w:color="C8D4DB"/>
                <w:bottom w:val="none" w:sz="0" w:space="0" w:color="auto"/>
                <w:right w:val="single" w:sz="6" w:space="0" w:color="C8D4DB"/>
              </w:divBdr>
              <w:divsChild>
                <w:div w:id="1616255868">
                  <w:marLeft w:val="0"/>
                  <w:marRight w:val="0"/>
                  <w:marTop w:val="0"/>
                  <w:marBottom w:val="0"/>
                  <w:divBdr>
                    <w:top w:val="none" w:sz="0" w:space="0" w:color="auto"/>
                    <w:left w:val="none" w:sz="0" w:space="0" w:color="auto"/>
                    <w:bottom w:val="none" w:sz="0" w:space="0" w:color="auto"/>
                    <w:right w:val="none" w:sz="0" w:space="0" w:color="auto"/>
                  </w:divBdr>
                  <w:divsChild>
                    <w:div w:id="769548030">
                      <w:marLeft w:val="0"/>
                      <w:marRight w:val="0"/>
                      <w:marTop w:val="0"/>
                      <w:marBottom w:val="0"/>
                      <w:divBdr>
                        <w:top w:val="none" w:sz="0" w:space="0" w:color="auto"/>
                        <w:left w:val="none" w:sz="0" w:space="0" w:color="auto"/>
                        <w:bottom w:val="none" w:sz="0" w:space="0" w:color="auto"/>
                        <w:right w:val="none" w:sz="0" w:space="0" w:color="auto"/>
                      </w:divBdr>
                      <w:divsChild>
                        <w:div w:id="700208116">
                          <w:marLeft w:val="0"/>
                          <w:marRight w:val="225"/>
                          <w:marTop w:val="0"/>
                          <w:marBottom w:val="0"/>
                          <w:divBdr>
                            <w:top w:val="none" w:sz="0" w:space="0" w:color="auto"/>
                            <w:left w:val="none" w:sz="0" w:space="0" w:color="auto"/>
                            <w:bottom w:val="none" w:sz="0" w:space="0" w:color="auto"/>
                            <w:right w:val="none" w:sz="0" w:space="0" w:color="auto"/>
                          </w:divBdr>
                          <w:divsChild>
                            <w:div w:id="1880042583">
                              <w:marLeft w:val="0"/>
                              <w:marRight w:val="0"/>
                              <w:marTop w:val="0"/>
                              <w:marBottom w:val="0"/>
                              <w:divBdr>
                                <w:top w:val="none" w:sz="0" w:space="0" w:color="auto"/>
                                <w:left w:val="none" w:sz="0" w:space="0" w:color="auto"/>
                                <w:bottom w:val="none" w:sz="0" w:space="0" w:color="auto"/>
                                <w:right w:val="none" w:sz="0" w:space="0" w:color="auto"/>
                              </w:divBdr>
                              <w:divsChild>
                                <w:div w:id="1866479539">
                                  <w:marLeft w:val="0"/>
                                  <w:marRight w:val="0"/>
                                  <w:marTop w:val="0"/>
                                  <w:marBottom w:val="0"/>
                                  <w:divBdr>
                                    <w:top w:val="none" w:sz="0" w:space="0" w:color="auto"/>
                                    <w:left w:val="none" w:sz="0" w:space="0" w:color="auto"/>
                                    <w:bottom w:val="none" w:sz="0" w:space="0" w:color="auto"/>
                                    <w:right w:val="none" w:sz="0" w:space="0" w:color="auto"/>
                                  </w:divBdr>
                                  <w:divsChild>
                                    <w:div w:id="576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0868">
                          <w:marLeft w:val="0"/>
                          <w:marRight w:val="0"/>
                          <w:marTop w:val="150"/>
                          <w:marBottom w:val="0"/>
                          <w:divBdr>
                            <w:top w:val="none" w:sz="0" w:space="0" w:color="auto"/>
                            <w:left w:val="none" w:sz="0" w:space="0" w:color="auto"/>
                            <w:bottom w:val="none" w:sz="0" w:space="0" w:color="auto"/>
                            <w:right w:val="none" w:sz="0" w:space="0" w:color="auto"/>
                          </w:divBdr>
                          <w:divsChild>
                            <w:div w:id="459612376">
                              <w:marLeft w:val="0"/>
                              <w:marRight w:val="0"/>
                              <w:marTop w:val="0"/>
                              <w:marBottom w:val="0"/>
                              <w:divBdr>
                                <w:top w:val="single" w:sz="2" w:space="0" w:color="BDC8D5"/>
                                <w:left w:val="single" w:sz="2" w:space="0" w:color="BDC8D5"/>
                                <w:bottom w:val="single" w:sz="2" w:space="8" w:color="BDC8D5"/>
                                <w:right w:val="single" w:sz="2" w:space="0" w:color="BDC8D5"/>
                              </w:divBdr>
                              <w:divsChild>
                                <w:div w:id="1784882453">
                                  <w:marLeft w:val="0"/>
                                  <w:marRight w:val="0"/>
                                  <w:marTop w:val="0"/>
                                  <w:marBottom w:val="0"/>
                                  <w:divBdr>
                                    <w:top w:val="none" w:sz="0" w:space="0" w:color="auto"/>
                                    <w:left w:val="none" w:sz="0" w:space="0" w:color="auto"/>
                                    <w:bottom w:val="none" w:sz="0" w:space="0" w:color="auto"/>
                                    <w:right w:val="none" w:sz="0" w:space="0" w:color="auto"/>
                                  </w:divBdr>
                                </w:div>
                                <w:div w:id="1082024136">
                                  <w:marLeft w:val="0"/>
                                  <w:marRight w:val="0"/>
                                  <w:marTop w:val="0"/>
                                  <w:marBottom w:val="0"/>
                                  <w:divBdr>
                                    <w:top w:val="none" w:sz="0" w:space="0" w:color="auto"/>
                                    <w:left w:val="none" w:sz="0" w:space="0" w:color="auto"/>
                                    <w:bottom w:val="none" w:sz="0" w:space="0" w:color="auto"/>
                                    <w:right w:val="none" w:sz="0" w:space="0" w:color="auto"/>
                                  </w:divBdr>
                                </w:div>
                                <w:div w:id="1313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2020-12-03T10:25:00Z</dcterms:created>
  <dcterms:modified xsi:type="dcterms:W3CDTF">2020-12-03T10:27:00Z</dcterms:modified>
</cp:coreProperties>
</file>