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line="240" w:lineRule="auto"/>
        <w:rPr>
          <w:b/>
          <w:bCs/>
          <w:sz w:val="26"/>
          <w:szCs w:val="26"/>
        </w:rPr>
      </w:pPr>
      <w:r>
        <w:rPr>
          <w:b/>
          <w:bCs/>
          <w:sz w:val="26"/>
          <w:szCs w:val="26"/>
        </w:rPr>
        <w:t>TRƯỜNG THCS NGỌC LÂM</w:t>
      </w:r>
    </w:p>
    <w:p>
      <w:pPr>
        <w:spacing w:before="60" w:after="60" w:line="240" w:lineRule="auto"/>
        <w:rPr>
          <w:b/>
          <w:bCs/>
          <w:sz w:val="26"/>
          <w:szCs w:val="26"/>
        </w:rPr>
      </w:pPr>
      <w:r>
        <w:rPr>
          <w:b/>
          <w:bCs/>
          <w:sz w:val="26"/>
          <w:szCs w:val="26"/>
        </w:rPr>
        <w:tab/>
      </w:r>
      <w:r>
        <w:rPr>
          <w:b/>
          <w:bCs/>
          <w:sz w:val="26"/>
          <w:szCs w:val="26"/>
        </w:rPr>
        <w:t xml:space="preserve">  TỔ TỰ NHIÊN</w:t>
      </w:r>
    </w:p>
    <w:p>
      <w:pPr>
        <w:spacing w:before="60" w:after="60" w:line="240" w:lineRule="auto"/>
        <w:jc w:val="center"/>
        <w:rPr>
          <w:b/>
          <w:bCs/>
          <w:sz w:val="26"/>
          <w:szCs w:val="26"/>
        </w:rPr>
      </w:pPr>
      <w:r>
        <w:rPr>
          <w:b/>
          <w:bCs/>
          <w:sz w:val="26"/>
          <w:szCs w:val="26"/>
        </w:rPr>
        <w:t>NỘI DUNG ÔN TẬP GIỮA HỌC KÌ II</w:t>
      </w:r>
    </w:p>
    <w:p>
      <w:pPr>
        <w:spacing w:before="60" w:after="60" w:line="240" w:lineRule="auto"/>
        <w:jc w:val="center"/>
        <w:rPr>
          <w:b/>
          <w:bCs/>
          <w:sz w:val="26"/>
          <w:szCs w:val="26"/>
        </w:rPr>
      </w:pPr>
      <w:r>
        <w:rPr>
          <w:b/>
          <w:bCs/>
          <w:sz w:val="26"/>
          <w:szCs w:val="26"/>
        </w:rPr>
        <w:t>NĂM HỌC 2020 – 2021</w:t>
      </w:r>
    </w:p>
    <w:p>
      <w:pPr>
        <w:spacing w:before="60" w:after="60" w:line="240" w:lineRule="auto"/>
        <w:jc w:val="center"/>
        <w:rPr>
          <w:b/>
          <w:bCs/>
          <w:sz w:val="26"/>
          <w:szCs w:val="26"/>
        </w:rPr>
      </w:pPr>
      <w:r>
        <w:rPr>
          <w:b/>
          <w:bCs/>
          <w:sz w:val="26"/>
          <w:szCs w:val="26"/>
        </w:rPr>
        <w:t>MÔN: VẬT LÝ – KHỐI: 9</w:t>
      </w:r>
    </w:p>
    <w:p>
      <w:pPr>
        <w:pStyle w:val="5"/>
        <w:numPr>
          <w:ilvl w:val="0"/>
          <w:numId w:val="1"/>
        </w:numPr>
        <w:spacing w:before="60" w:after="60" w:line="240" w:lineRule="auto"/>
        <w:jc w:val="both"/>
        <w:rPr>
          <w:b/>
          <w:bCs/>
          <w:sz w:val="26"/>
          <w:szCs w:val="26"/>
        </w:rPr>
      </w:pPr>
      <w:r>
        <w:rPr>
          <w:b/>
          <w:bCs/>
          <w:sz w:val="26"/>
          <w:szCs w:val="26"/>
        </w:rPr>
        <w:t>KIẾN THỨC CẦN ÔN TẬP:</w:t>
      </w:r>
    </w:p>
    <w:p>
      <w:pPr>
        <w:spacing w:before="60" w:after="60" w:line="240" w:lineRule="auto"/>
        <w:jc w:val="both"/>
        <w:rPr>
          <w:sz w:val="26"/>
          <w:szCs w:val="26"/>
        </w:rPr>
      </w:pPr>
      <w:r>
        <w:rPr>
          <w:sz w:val="26"/>
          <w:szCs w:val="26"/>
        </w:rPr>
        <w:t>1. Nêu công thức tính điện năng hao phí trên đường dây truyền tải điện.</w:t>
      </w:r>
    </w:p>
    <w:p>
      <w:pPr>
        <w:spacing w:before="60" w:after="60" w:line="240" w:lineRule="auto"/>
        <w:jc w:val="both"/>
        <w:rPr>
          <w:sz w:val="26"/>
          <w:szCs w:val="26"/>
        </w:rPr>
      </w:pPr>
      <w:r>
        <w:rPr>
          <w:sz w:val="26"/>
          <w:szCs w:val="26"/>
        </w:rPr>
        <w:t>2. Có thể làm giảm điện năng hao phí trên đường dây truyền tải bằng những cách nào? Cách nào là tốt nhất? Vì sao?</w:t>
      </w:r>
    </w:p>
    <w:p>
      <w:pPr>
        <w:spacing w:before="60" w:after="60" w:line="240" w:lineRule="auto"/>
        <w:jc w:val="both"/>
        <w:rPr>
          <w:sz w:val="26"/>
          <w:szCs w:val="26"/>
        </w:rPr>
      </w:pPr>
      <w:r>
        <w:rPr>
          <w:sz w:val="26"/>
          <w:szCs w:val="26"/>
        </w:rPr>
        <w:t xml:space="preserve">3. Nêu cấu tạo và nguyên tắc hoạt động của máy biến thế? Nêu mối liên hệ giữa hiệu điện thế ở hai đầu các cuộn dây của máy biến thế với số vòng dây của các cuộn tương ứng? </w:t>
      </w:r>
    </w:p>
    <w:p>
      <w:pPr>
        <w:spacing w:before="60" w:after="60" w:line="240" w:lineRule="auto"/>
        <w:jc w:val="both"/>
        <w:rPr>
          <w:sz w:val="26"/>
          <w:szCs w:val="26"/>
        </w:rPr>
      </w:pPr>
      <w:r>
        <w:rPr>
          <w:sz w:val="26"/>
          <w:szCs w:val="26"/>
        </w:rPr>
        <w:t>4. Nêu mối liên hệ giữa hiệu điện thế ở hai đầu các cuộn dây của máy biến thế với số vòng dây của các cuộn tương ứng?</w:t>
      </w:r>
    </w:p>
    <w:p>
      <w:pPr>
        <w:spacing w:before="60" w:after="60" w:line="240" w:lineRule="auto"/>
        <w:jc w:val="both"/>
        <w:rPr>
          <w:sz w:val="26"/>
          <w:szCs w:val="26"/>
        </w:rPr>
      </w:pPr>
      <w:r>
        <w:rPr>
          <w:sz w:val="26"/>
          <w:szCs w:val="26"/>
        </w:rPr>
        <w:t>5. Phát biểu hiện tượng khúc xạ ánh sáng?</w:t>
      </w:r>
    </w:p>
    <w:p>
      <w:pPr>
        <w:spacing w:before="60" w:after="60" w:line="240" w:lineRule="auto"/>
        <w:jc w:val="both"/>
        <w:rPr>
          <w:sz w:val="26"/>
          <w:szCs w:val="26"/>
        </w:rPr>
      </w:pPr>
      <w:r>
        <w:rPr>
          <w:sz w:val="26"/>
          <w:szCs w:val="26"/>
        </w:rPr>
        <w:t>6. Nêu đặc điểm của tia sáng truyền từ không khí sang nước và ngược lại?</w:t>
      </w:r>
    </w:p>
    <w:p>
      <w:pPr>
        <w:spacing w:before="60" w:after="60" w:line="240" w:lineRule="auto"/>
        <w:jc w:val="both"/>
        <w:rPr>
          <w:sz w:val="26"/>
          <w:szCs w:val="26"/>
        </w:rPr>
      </w:pPr>
      <w:r>
        <w:rPr>
          <w:sz w:val="26"/>
          <w:szCs w:val="26"/>
        </w:rPr>
        <w:t>7. So sánh TKHT và TKPK (về đặc điểm, đường truyền đặc biệt của các tia sáng đặc biệt qua TK và tính chất ảnh của một vật tạo bởi TK)?</w:t>
      </w:r>
    </w:p>
    <w:p>
      <w:pPr>
        <w:pStyle w:val="5"/>
        <w:numPr>
          <w:ilvl w:val="0"/>
          <w:numId w:val="1"/>
        </w:numPr>
        <w:spacing w:before="60" w:after="60" w:line="240" w:lineRule="auto"/>
        <w:jc w:val="both"/>
        <w:rPr>
          <w:b/>
          <w:bCs/>
          <w:sz w:val="26"/>
          <w:szCs w:val="26"/>
        </w:rPr>
      </w:pPr>
      <w:r>
        <w:rPr>
          <w:b/>
          <w:bCs/>
          <w:sz w:val="26"/>
          <w:szCs w:val="26"/>
        </w:rPr>
        <w:t>CÁC DẠNG BÀI TẬP THAM KHẢO:</w:t>
      </w:r>
    </w:p>
    <w:p>
      <w:pPr>
        <w:spacing w:before="60" w:after="60" w:line="240" w:lineRule="auto"/>
        <w:jc w:val="both"/>
        <w:rPr>
          <w:b/>
          <w:bCs/>
          <w:sz w:val="26"/>
          <w:szCs w:val="26"/>
        </w:rPr>
      </w:pPr>
      <w:r>
        <w:rPr>
          <w:b/>
          <w:bCs/>
          <w:sz w:val="26"/>
          <w:szCs w:val="26"/>
        </w:rPr>
        <w:t>Dạng 1: Bài tập về truyền tải điện năng – Máy biến thế:</w:t>
      </w:r>
    </w:p>
    <w:p>
      <w:pPr>
        <w:spacing w:before="60" w:after="60" w:line="240" w:lineRule="auto"/>
        <w:jc w:val="both"/>
        <w:rPr>
          <w:sz w:val="26"/>
          <w:szCs w:val="26"/>
        </w:rPr>
      </w:pPr>
      <w:r>
        <w:rPr>
          <w:sz w:val="26"/>
          <w:szCs w:val="26"/>
        </w:rPr>
        <w:t>Để truyền tải một công suất điện 50000W từ một nhà máy thủy điện cách khu dân cư 20km bằng một dây truyền tải có hiệu điện thế hai đầu dây là 10000V. Biết cứ 1km dây truyền tải có điện trở là 0,5</w:t>
      </w:r>
      <w:r>
        <w:rPr>
          <w:rFonts w:cstheme="minorHAnsi"/>
          <w:sz w:val="26"/>
          <w:szCs w:val="26"/>
        </w:rPr>
        <w:t>Ω</w:t>
      </w:r>
      <w:r>
        <w:rPr>
          <w:sz w:val="26"/>
          <w:szCs w:val="26"/>
        </w:rPr>
        <w:t>. Tính:</w:t>
      </w:r>
    </w:p>
    <w:p>
      <w:pPr>
        <w:pStyle w:val="5"/>
        <w:numPr>
          <w:ilvl w:val="0"/>
          <w:numId w:val="2"/>
        </w:numPr>
        <w:spacing w:before="60" w:after="60" w:line="240" w:lineRule="auto"/>
        <w:ind w:left="360"/>
        <w:jc w:val="both"/>
        <w:rPr>
          <w:sz w:val="26"/>
          <w:szCs w:val="26"/>
        </w:rPr>
      </w:pPr>
      <w:r>
        <w:rPr>
          <w:sz w:val="26"/>
          <w:szCs w:val="26"/>
        </w:rPr>
        <w:t>Công suất hao phí trên đường dây truyền tải?</w:t>
      </w:r>
    </w:p>
    <w:p>
      <w:pPr>
        <w:pStyle w:val="5"/>
        <w:numPr>
          <w:ilvl w:val="0"/>
          <w:numId w:val="2"/>
        </w:numPr>
        <w:spacing w:before="60" w:after="60" w:line="240" w:lineRule="auto"/>
        <w:ind w:left="360"/>
        <w:jc w:val="both"/>
        <w:rPr>
          <w:sz w:val="26"/>
          <w:szCs w:val="26"/>
        </w:rPr>
      </w:pPr>
      <w:r>
        <w:rPr>
          <w:sz w:val="26"/>
          <w:szCs w:val="26"/>
        </w:rPr>
        <w:t xml:space="preserve">Biết điện sử dụng tại khu dân cư có giá trị 220V, do đó người ta sử dụng 1 máy hạ thế có số vòng dây cuộn sơ cấp là 25000 vòng để biến đổi </w:t>
      </w:r>
      <w:r>
        <w:rPr>
          <w:rFonts w:hint="default"/>
          <w:sz w:val="26"/>
          <w:szCs w:val="26"/>
          <w:lang w:val="en-US"/>
        </w:rPr>
        <w:t>hiệu điện thế từ 5000V</w:t>
      </w:r>
      <w:r>
        <w:rPr>
          <w:sz w:val="26"/>
          <w:szCs w:val="26"/>
        </w:rPr>
        <w:t xml:space="preserve"> Tính số vòng dây cuộn thứ cấp?</w:t>
      </w:r>
    </w:p>
    <w:p>
      <w:pPr>
        <w:spacing w:before="60" w:after="60" w:line="240" w:lineRule="auto"/>
        <w:jc w:val="both"/>
        <w:rPr>
          <w:b/>
          <w:bCs/>
          <w:sz w:val="26"/>
          <w:szCs w:val="26"/>
        </w:rPr>
      </w:pPr>
      <w:r>
        <w:rPr>
          <w:b/>
          <w:bCs/>
          <w:sz w:val="26"/>
          <w:szCs w:val="26"/>
        </w:rPr>
        <w:t>Dạng 2: Bài tập quang học:</w:t>
      </w:r>
    </w:p>
    <w:p>
      <w:pPr>
        <w:spacing w:before="60" w:after="60" w:line="240" w:lineRule="auto"/>
        <w:jc w:val="both"/>
        <w:rPr>
          <w:rFonts w:eastAsiaTheme="minorEastAsia"/>
          <w:sz w:val="26"/>
          <w:szCs w:val="26"/>
        </w:rPr>
      </w:pPr>
      <w:r>
        <w:rPr>
          <w:b/>
          <w:bCs/>
          <w:i/>
          <w:iCs/>
          <w:sz w:val="26"/>
          <w:szCs w:val="26"/>
          <w:u w:val="single"/>
        </w:rPr>
        <w:t>Bài 1:</w:t>
      </w:r>
      <w:r>
        <w:rPr>
          <w:sz w:val="26"/>
          <w:szCs w:val="26"/>
        </w:rPr>
        <w:t xml:space="preserve"> Cho một vật sáng AB = 1cm  đặt vuông góc với trục chính của một TKHT (A </w:t>
      </w:r>
      <m:oMath>
        <m:r>
          <m:rPr/>
          <w:rPr>
            <w:rFonts w:ascii="Cambria Math" w:hAnsi="Cambria Math"/>
            <w:sz w:val="26"/>
            <w:szCs w:val="26"/>
          </w:rPr>
          <m:t>∈∆</m:t>
        </m:r>
      </m:oMath>
      <w:r>
        <w:rPr>
          <w:rFonts w:eastAsiaTheme="minorEastAsia"/>
          <w:sz w:val="26"/>
          <w:szCs w:val="26"/>
        </w:rPr>
        <w:t xml:space="preserve">) có tiêu cự là 10cm. </w:t>
      </w:r>
    </w:p>
    <w:p>
      <w:pPr>
        <w:pStyle w:val="5"/>
        <w:numPr>
          <w:ilvl w:val="0"/>
          <w:numId w:val="3"/>
        </w:numPr>
        <w:spacing w:before="60" w:after="60" w:line="240" w:lineRule="auto"/>
        <w:jc w:val="both"/>
        <w:rPr>
          <w:sz w:val="26"/>
          <w:szCs w:val="26"/>
        </w:rPr>
      </w:pPr>
      <w:r>
        <w:rPr>
          <w:sz w:val="26"/>
          <w:szCs w:val="26"/>
        </w:rPr>
        <w:t>Vẽ ảnh của vật qua TKHT và nêu tính chất của ảnh. Biết vật cách thấu kính 16cm.</w:t>
      </w:r>
    </w:p>
    <w:p>
      <w:pPr>
        <w:pStyle w:val="5"/>
        <w:numPr>
          <w:ilvl w:val="0"/>
          <w:numId w:val="3"/>
        </w:numPr>
        <w:spacing w:before="60" w:after="60" w:line="240" w:lineRule="auto"/>
        <w:jc w:val="both"/>
        <w:rPr>
          <w:sz w:val="26"/>
          <w:szCs w:val="26"/>
        </w:rPr>
      </w:pPr>
      <w:r>
        <w:rPr>
          <w:sz w:val="26"/>
          <w:szCs w:val="26"/>
        </w:rPr>
        <w:t xml:space="preserve">Tính chiều cao của ảnh và khoảng cách từ ảnh đến </w:t>
      </w:r>
      <w:r>
        <w:rPr>
          <w:rFonts w:hint="default"/>
          <w:sz w:val="26"/>
          <w:szCs w:val="26"/>
          <w:lang w:val="en-US"/>
        </w:rPr>
        <w:t>thấu kính</w:t>
      </w:r>
      <w:r>
        <w:rPr>
          <w:sz w:val="26"/>
          <w:szCs w:val="26"/>
        </w:rPr>
        <w:t>?</w:t>
      </w:r>
    </w:p>
    <w:p>
      <w:pPr>
        <w:pStyle w:val="5"/>
        <w:numPr>
          <w:ilvl w:val="0"/>
          <w:numId w:val="3"/>
        </w:numPr>
        <w:spacing w:before="60" w:after="60" w:line="240" w:lineRule="auto"/>
        <w:jc w:val="both"/>
        <w:rPr>
          <w:sz w:val="26"/>
          <w:szCs w:val="26"/>
        </w:rPr>
      </w:pPr>
      <w:r>
        <w:rPr>
          <w:sz w:val="26"/>
          <w:szCs w:val="26"/>
        </w:rPr>
        <w:t>Vẽ ảnh của vật qua TKHT và nêu tính chất của ảnh. Biết vật cách thấu kính  6cm.</w:t>
      </w:r>
    </w:p>
    <w:p>
      <w:pPr>
        <w:pStyle w:val="5"/>
        <w:numPr>
          <w:ilvl w:val="0"/>
          <w:numId w:val="3"/>
        </w:numPr>
        <w:spacing w:before="60" w:after="60" w:line="240" w:lineRule="auto"/>
        <w:jc w:val="both"/>
        <w:rPr>
          <w:sz w:val="26"/>
          <w:szCs w:val="26"/>
        </w:rPr>
      </w:pPr>
      <w:r>
        <w:rPr>
          <w:sz w:val="26"/>
          <w:szCs w:val="26"/>
        </w:rPr>
        <w:t xml:space="preserve">Tính chiều cao của ảnh và khoảng cách từ ảnh đến </w:t>
      </w:r>
      <w:r>
        <w:rPr>
          <w:rFonts w:hint="default"/>
          <w:sz w:val="26"/>
          <w:szCs w:val="26"/>
          <w:lang w:val="en-US"/>
        </w:rPr>
        <w:t>thấu kính</w:t>
      </w:r>
      <w:r>
        <w:rPr>
          <w:sz w:val="26"/>
          <w:szCs w:val="26"/>
        </w:rPr>
        <w:t>?</w:t>
      </w:r>
    </w:p>
    <w:p>
      <w:pPr>
        <w:spacing w:before="60" w:after="60" w:line="240" w:lineRule="auto"/>
        <w:jc w:val="both"/>
        <w:rPr>
          <w:sz w:val="26"/>
          <w:szCs w:val="26"/>
        </w:rPr>
      </w:pPr>
      <w:r>
        <w:rPr>
          <w:b/>
          <w:bCs/>
          <w:i/>
          <w:iCs/>
          <w:sz w:val="26"/>
          <w:szCs w:val="26"/>
          <w:u w:val="single"/>
        </w:rPr>
        <w:t>Bài 2:</w:t>
      </w:r>
      <w:r>
        <w:rPr>
          <w:sz w:val="26"/>
          <w:szCs w:val="26"/>
        </w:rPr>
        <w:t xml:space="preserve"> Cho một vật sáng AB = 1,5cm  đặt vuông góc với trục chính của một TKPK (A</w:t>
      </w:r>
      <m:oMath>
        <m:r>
          <m:rPr/>
          <w:rPr>
            <w:rFonts w:ascii="Cambria Math" w:hAnsi="Cambria Math"/>
            <w:sz w:val="26"/>
            <w:szCs w:val="26"/>
          </w:rPr>
          <m:t>∈∆</m:t>
        </m:r>
      </m:oMath>
      <w:r>
        <w:rPr>
          <w:rFonts w:eastAsiaTheme="minorEastAsia"/>
          <w:sz w:val="26"/>
          <w:szCs w:val="26"/>
        </w:rPr>
        <w:t xml:space="preserve">) có tiêu cự là 8cm. </w:t>
      </w:r>
      <w:r>
        <w:rPr>
          <w:sz w:val="26"/>
          <w:szCs w:val="26"/>
        </w:rPr>
        <w:t>Vẽ ảnh của vật qua TKPK và nêu tính chất của ảnh. Biết vật cách thấu kính 6cm.</w:t>
      </w:r>
    </w:p>
    <w:p>
      <w:pPr>
        <w:spacing w:before="60" w:after="60" w:line="240" w:lineRule="auto"/>
        <w:jc w:val="both"/>
        <w:rPr>
          <w:sz w:val="26"/>
          <w:szCs w:val="26"/>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505"/>
        <w:gridCol w:w="3505"/>
        <w:gridCol w:w="3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505" w:type="dxa"/>
            <w:vAlign w:val="center"/>
          </w:tcPr>
          <w:p>
            <w:pPr>
              <w:spacing w:before="60" w:after="60" w:line="240" w:lineRule="auto"/>
              <w:jc w:val="center"/>
              <w:rPr>
                <w:rFonts w:hint="default"/>
                <w:b/>
                <w:bCs/>
                <w:sz w:val="26"/>
                <w:szCs w:val="26"/>
                <w:vertAlign w:val="baseline"/>
                <w:lang w:val="en-US"/>
              </w:rPr>
            </w:pPr>
            <w:r>
              <w:rPr>
                <w:rFonts w:hint="default"/>
                <w:b/>
                <w:bCs/>
                <w:sz w:val="26"/>
                <w:szCs w:val="26"/>
                <w:vertAlign w:val="baseline"/>
                <w:lang w:val="en-US"/>
              </w:rPr>
              <w:t>BGH duyệt</w:t>
            </w: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r>
              <w:rPr>
                <w:rFonts w:hint="default"/>
                <w:b/>
                <w:bCs/>
                <w:i/>
                <w:iCs/>
                <w:sz w:val="26"/>
                <w:szCs w:val="26"/>
                <w:vertAlign w:val="baseline"/>
                <w:lang w:val="en-US"/>
              </w:rPr>
              <w:t>Nguyễn Thị Thu Hằng</w:t>
            </w:r>
          </w:p>
        </w:tc>
        <w:tc>
          <w:tcPr>
            <w:tcW w:w="3505" w:type="dxa"/>
            <w:vAlign w:val="center"/>
          </w:tcPr>
          <w:p>
            <w:pPr>
              <w:spacing w:before="60" w:after="60" w:line="240" w:lineRule="auto"/>
              <w:jc w:val="center"/>
              <w:rPr>
                <w:rFonts w:hint="default"/>
                <w:b/>
                <w:bCs/>
                <w:sz w:val="26"/>
                <w:szCs w:val="26"/>
                <w:vertAlign w:val="baseline"/>
                <w:lang w:val="en-US"/>
              </w:rPr>
            </w:pPr>
            <w:r>
              <w:rPr>
                <w:rFonts w:hint="default"/>
                <w:b/>
                <w:bCs/>
                <w:sz w:val="26"/>
                <w:szCs w:val="26"/>
                <w:vertAlign w:val="baseline"/>
                <w:lang w:val="en-US"/>
              </w:rPr>
              <w:t>TTCM</w:t>
            </w: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r>
              <w:rPr>
                <w:rFonts w:hint="default"/>
                <w:b/>
                <w:bCs/>
                <w:i/>
                <w:iCs/>
                <w:sz w:val="26"/>
                <w:szCs w:val="26"/>
                <w:vertAlign w:val="baseline"/>
                <w:lang w:val="en-US"/>
              </w:rPr>
              <w:t>Phạm Thị Hải Yến</w:t>
            </w:r>
          </w:p>
        </w:tc>
        <w:tc>
          <w:tcPr>
            <w:tcW w:w="3506" w:type="dxa"/>
            <w:vAlign w:val="center"/>
          </w:tcPr>
          <w:p>
            <w:pPr>
              <w:spacing w:before="60" w:after="60" w:line="240" w:lineRule="auto"/>
              <w:jc w:val="center"/>
              <w:rPr>
                <w:rFonts w:hint="default"/>
                <w:b/>
                <w:bCs/>
                <w:sz w:val="26"/>
                <w:szCs w:val="26"/>
                <w:vertAlign w:val="baseline"/>
                <w:lang w:val="en-US"/>
              </w:rPr>
            </w:pPr>
            <w:r>
              <w:rPr>
                <w:rFonts w:hint="default"/>
                <w:b/>
                <w:bCs/>
                <w:sz w:val="26"/>
                <w:szCs w:val="26"/>
                <w:vertAlign w:val="baseline"/>
                <w:lang w:val="en-US"/>
              </w:rPr>
              <w:t>Nhóm trưởng CM</w:t>
            </w: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p>
          <w:p>
            <w:pPr>
              <w:spacing w:before="60" w:after="60" w:line="240" w:lineRule="auto"/>
              <w:jc w:val="center"/>
              <w:rPr>
                <w:rFonts w:hint="default"/>
                <w:b/>
                <w:bCs/>
                <w:sz w:val="26"/>
                <w:szCs w:val="26"/>
                <w:vertAlign w:val="baseline"/>
                <w:lang w:val="en-US"/>
              </w:rPr>
            </w:pPr>
            <w:r>
              <w:rPr>
                <w:rFonts w:hint="default"/>
                <w:b/>
                <w:bCs/>
                <w:i/>
                <w:iCs/>
                <w:sz w:val="26"/>
                <w:szCs w:val="26"/>
                <w:vertAlign w:val="baseline"/>
                <w:lang w:val="en-US"/>
              </w:rPr>
              <w:t>Vũ Thị Loan</w:t>
            </w:r>
          </w:p>
        </w:tc>
      </w:tr>
    </w:tbl>
    <w:p>
      <w:pPr>
        <w:spacing w:before="60" w:after="60" w:line="240" w:lineRule="auto"/>
        <w:jc w:val="both"/>
        <w:rPr>
          <w:sz w:val="26"/>
          <w:szCs w:val="26"/>
        </w:rPr>
      </w:pPr>
      <w:bookmarkStart w:id="0" w:name="_GoBack"/>
      <w:bookmarkEnd w:id="0"/>
    </w:p>
    <w:sectPr>
      <w:pgSz w:w="12240" w:h="15840"/>
      <w:pgMar w:top="630" w:right="720" w:bottom="360" w:left="12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92086"/>
    <w:multiLevelType w:val="multilevel"/>
    <w:tmpl w:val="24F9208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C1692A"/>
    <w:multiLevelType w:val="multilevel"/>
    <w:tmpl w:val="44C1692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2C1DC3"/>
    <w:multiLevelType w:val="multilevel"/>
    <w:tmpl w:val="522C1DC3"/>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0C"/>
    <w:rsid w:val="000D640C"/>
    <w:rsid w:val="001330B7"/>
    <w:rsid w:val="006C3510"/>
    <w:rsid w:val="007F09C7"/>
    <w:rsid w:val="00A2746B"/>
    <w:rsid w:val="00AD26EA"/>
    <w:rsid w:val="00B0355A"/>
    <w:rsid w:val="00D34C23"/>
    <w:rsid w:val="00EB4643"/>
    <w:rsid w:val="00EC2018"/>
    <w:rsid w:val="498D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 w:type="character" w:styleId="6">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294</Words>
  <Characters>1682</Characters>
  <Lines>14</Lines>
  <Paragraphs>3</Paragraphs>
  <TotalTime>3</TotalTime>
  <ScaleCrop>false</ScaleCrop>
  <LinksUpToDate>false</LinksUpToDate>
  <CharactersWithSpaces>1973</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2021-03-09T19:11:00Z</dcterms:created>
  <dc:creator>ansoo kwang</dc:creator>
  <cp:lastModifiedBy>LENOVO</cp:lastModifiedBy>
  <dcterms:modified xsi:type="dcterms:W3CDTF">2021-03-11T23:53:51Z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