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 TUẦN 1 THÁNG7/2024  (TỪ NGÀY 01/7  ĐẾN NGÀY 06/7/2024)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95"/>
        <w:gridCol w:w="1965"/>
        <w:gridCol w:w="2205"/>
        <w:gridCol w:w="2145"/>
        <w:gridCol w:w="1995"/>
        <w:gridCol w:w="1740"/>
        <w:gridCol w:w="1605"/>
        <w:tblGridChange w:id="0">
          <w:tblGrid>
            <w:gridCol w:w="1275"/>
            <w:gridCol w:w="810"/>
            <w:gridCol w:w="1995"/>
            <w:gridCol w:w="1965"/>
            <w:gridCol w:w="2205"/>
            <w:gridCol w:w="2145"/>
            <w:gridCol w:w="199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(01/7)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(02/7)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(03/7)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(04/7)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- 11h30 sinh hoạt chi bộ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tcBorders>
              <w:right w:color="434343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việc lưu nghiệm TA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Tính cân đối TP Gọi chợ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công tác vệ sinh cuối tuần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các hoạt động CSGD tại các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các hoạt động CSGD tại các lớp.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- 11h30 sinh hoạt chi bộ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các hoạt động CSGD tại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các hoạt động CSGD tại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- 11h30 sinh hoạt chi bộ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Trực tuyển sinh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